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527C28">
      <w:pPr>
        <w:adjustRightInd w:val="0"/>
        <w:snapToGrid w:val="0"/>
        <w:spacing w:line="560" w:lineRule="exact"/>
        <w:ind w:right="25" w:rightChars="12"/>
        <w:rPr>
          <w:rFonts w:eastAsia="方正黑体_GBK"/>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附件1.</w:t>
      </w:r>
    </w:p>
    <w:p w14:paraId="13C975AD">
      <w:pPr>
        <w:widowControl/>
        <w:spacing w:before="150" w:line="588" w:lineRule="exact"/>
        <w:ind w:firstLine="440" w:firstLineChars="100"/>
        <w:jc w:val="center"/>
        <w:rPr>
          <w:rFonts w:ascii="方正小标宋_GBK" w:hAnsi="方正小标宋_GBK" w:eastAsia="方正小标宋_GBK" w:cs="方正小标宋_GBK"/>
          <w:color w:val="000000" w:themeColor="text1"/>
          <w:kern w:val="0"/>
          <w:sz w:val="44"/>
          <w:szCs w:val="44"/>
          <w14:textFill>
            <w14:solidFill>
              <w14:schemeClr w14:val="tx1"/>
            </w14:solidFill>
          </w14:textFill>
        </w:rPr>
      </w:pPr>
      <w:r>
        <w:rPr>
          <w:rFonts w:hint="eastAsia" w:ascii="方正小标宋_GBK" w:hAnsi="方正小标宋_GBK" w:eastAsia="方正小标宋_GBK" w:cs="方正小标宋_GBK"/>
          <w:color w:val="000000" w:themeColor="text1"/>
          <w:kern w:val="0"/>
          <w:sz w:val="44"/>
          <w:szCs w:val="44"/>
          <w14:textFill>
            <w14:solidFill>
              <w14:schemeClr w14:val="tx1"/>
            </w14:solidFill>
          </w14:textFill>
        </w:rPr>
        <w:t>2025中国足球职业俱乐部U21联赛</w:t>
      </w:r>
    </w:p>
    <w:p w14:paraId="29908497">
      <w:pPr>
        <w:widowControl/>
        <w:spacing w:before="150" w:line="588" w:lineRule="exact"/>
        <w:ind w:firstLine="440" w:firstLineChars="100"/>
        <w:jc w:val="center"/>
        <w:rPr>
          <w:rFonts w:ascii="方正小标宋_GBK" w:hAnsi="方正小标宋_GBK" w:eastAsia="方正小标宋_GBK" w:cs="方正小标宋_GBK"/>
          <w:color w:val="000000" w:themeColor="text1"/>
          <w:kern w:val="0"/>
          <w:sz w:val="44"/>
          <w:szCs w:val="44"/>
          <w14:textFill>
            <w14:solidFill>
              <w14:schemeClr w14:val="tx1"/>
            </w14:solidFill>
          </w14:textFill>
        </w:rPr>
      </w:pPr>
      <w:r>
        <w:rPr>
          <w:rFonts w:hint="eastAsia" w:ascii="方正小标宋_GBK" w:hAnsi="方正小标宋_GBK" w:eastAsia="方正小标宋_GBK" w:cs="方正小标宋_GBK"/>
          <w:color w:val="000000" w:themeColor="text1"/>
          <w:kern w:val="0"/>
          <w:sz w:val="44"/>
          <w:szCs w:val="44"/>
          <w14:textFill>
            <w14:solidFill>
              <w14:schemeClr w14:val="tx1"/>
            </w14:solidFill>
          </w14:textFill>
        </w:rPr>
        <w:t>承办赛区申办条件</w:t>
      </w:r>
    </w:p>
    <w:p w14:paraId="2894AC3C">
      <w:pPr>
        <w:widowControl/>
        <w:spacing w:before="150" w:line="588" w:lineRule="exact"/>
        <w:ind w:firstLine="440" w:firstLineChars="100"/>
        <w:rPr>
          <w:rFonts w:ascii="方正小标宋简体" w:hAnsi="方正小标宋简体" w:eastAsia="方正小标宋简体" w:cs="宋体"/>
          <w:color w:val="000000" w:themeColor="text1"/>
          <w:kern w:val="0"/>
          <w:sz w:val="44"/>
          <w:szCs w:val="44"/>
          <w14:textFill>
            <w14:solidFill>
              <w14:schemeClr w14:val="tx1"/>
            </w14:solidFill>
          </w14:textFill>
        </w:rPr>
      </w:pPr>
    </w:p>
    <w:p w14:paraId="2226FACE">
      <w:pPr>
        <w:pStyle w:val="4"/>
        <w:adjustRightInd w:val="0"/>
        <w:snapToGrid w:val="0"/>
        <w:spacing w:line="560" w:lineRule="exact"/>
        <w:ind w:right="25" w:rightChars="12" w:firstLine="64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一、承办标准及要求</w:t>
      </w:r>
    </w:p>
    <w:p w14:paraId="4F8A503B">
      <w:pPr>
        <w:pStyle w:val="4"/>
        <w:adjustRightInd w:val="0"/>
        <w:snapToGrid w:val="0"/>
        <w:spacing w:line="560" w:lineRule="exact"/>
        <w:ind w:right="25" w:rightChars="12" w:firstLine="64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（一）比赛场地</w:t>
      </w:r>
    </w:p>
    <w:p w14:paraId="26079B74">
      <w:pPr>
        <w:widowControl/>
        <w:adjustRightInd w:val="0"/>
        <w:snapToGrid w:val="0"/>
        <w:spacing w:line="560" w:lineRule="exact"/>
        <w:ind w:right="25" w:rightChars="12" w:firstLine="640" w:firstLineChars="20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1. 足球场规格应符合《足球竞赛规则》规定，为天然草皮并应确保平整。</w:t>
      </w:r>
    </w:p>
    <w:p w14:paraId="063D2DB3">
      <w:pPr>
        <w:widowControl/>
        <w:adjustRightInd w:val="0"/>
        <w:snapToGrid w:val="0"/>
        <w:spacing w:line="560" w:lineRule="exact"/>
        <w:ind w:right="25" w:rightChars="12" w:firstLine="640" w:firstLineChars="20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 xml:space="preserve">2. </w:t>
      </w:r>
      <w:r>
        <w:rPr>
          <w:rFonts w:eastAsia="仿宋"/>
          <w:color w:val="000000" w:themeColor="text1"/>
          <w:sz w:val="32"/>
          <w:szCs w:val="32"/>
          <w14:textFill>
            <w14:solidFill>
              <w14:schemeClr w14:val="tx1"/>
            </w14:solidFill>
          </w14:textFill>
        </w:rPr>
        <w:t>接待</w:t>
      </w:r>
      <w:r>
        <w:rPr>
          <w:rFonts w:hint="eastAsia" w:eastAsia="仿宋"/>
          <w:color w:val="000000" w:themeColor="text1"/>
          <w:kern w:val="0"/>
          <w:sz w:val="32"/>
          <w:szCs w:val="32"/>
          <w14:textFill>
            <w14:solidFill>
              <w14:schemeClr w14:val="tx1"/>
            </w14:solidFill>
          </w14:textFill>
        </w:rPr>
        <w:t>8支</w:t>
      </w:r>
      <w:r>
        <w:rPr>
          <w:rFonts w:eastAsia="仿宋"/>
          <w:color w:val="000000" w:themeColor="text1"/>
          <w:kern w:val="0"/>
          <w:sz w:val="32"/>
          <w:szCs w:val="32"/>
          <w14:textFill>
            <w14:solidFill>
              <w14:schemeClr w14:val="tx1"/>
            </w14:solidFill>
          </w14:textFill>
        </w:rPr>
        <w:t>球队的赛区应至少提供3块正式比赛场地和1块备用比赛场地</w:t>
      </w:r>
      <w:r>
        <w:rPr>
          <w:rFonts w:hint="eastAsia" w:eastAsia="仿宋"/>
          <w:color w:val="000000" w:themeColor="text1"/>
          <w:kern w:val="0"/>
          <w:sz w:val="32"/>
          <w:szCs w:val="32"/>
          <w14:textFill>
            <w14:solidFill>
              <w14:schemeClr w14:val="tx1"/>
            </w14:solidFill>
          </w14:textFill>
        </w:rPr>
        <w:t>。</w:t>
      </w:r>
      <w:r>
        <w:rPr>
          <w:rFonts w:eastAsia="仿宋"/>
          <w:color w:val="000000" w:themeColor="text1"/>
          <w:kern w:val="0"/>
          <w:sz w:val="32"/>
          <w:szCs w:val="32"/>
          <w14:textFill>
            <w14:solidFill>
              <w14:schemeClr w14:val="tx1"/>
            </w14:solidFill>
          </w14:textFill>
        </w:rPr>
        <w:t>接待1</w:t>
      </w:r>
      <w:r>
        <w:rPr>
          <w:rFonts w:hint="eastAsia" w:eastAsia="仿宋"/>
          <w:color w:val="000000" w:themeColor="text1"/>
          <w:kern w:val="0"/>
          <w:sz w:val="32"/>
          <w:szCs w:val="32"/>
          <w14:textFill>
            <w14:solidFill>
              <w14:schemeClr w14:val="tx1"/>
            </w14:solidFill>
          </w14:textFill>
        </w:rPr>
        <w:t>1</w:t>
      </w:r>
      <w:r>
        <w:rPr>
          <w:rFonts w:eastAsia="仿宋"/>
          <w:color w:val="000000" w:themeColor="text1"/>
          <w:kern w:val="0"/>
          <w:sz w:val="32"/>
          <w:szCs w:val="32"/>
          <w14:textFill>
            <w14:solidFill>
              <w14:schemeClr w14:val="tx1"/>
            </w14:solidFill>
          </w14:textFill>
        </w:rPr>
        <w:t>支球队的赛区至少提供4块正式比赛场地和1块备用比赛场地。</w:t>
      </w:r>
      <w:r>
        <w:rPr>
          <w:rFonts w:hint="eastAsia" w:eastAsia="仿宋"/>
          <w:color w:val="000000" w:themeColor="text1"/>
          <w:kern w:val="0"/>
          <w:sz w:val="32"/>
          <w:szCs w:val="32"/>
          <w14:textFill>
            <w14:solidFill>
              <w14:schemeClr w14:val="tx1"/>
            </w14:solidFill>
          </w14:textFill>
        </w:rPr>
        <w:t>场地尺寸均为1</w:t>
      </w:r>
      <w:r>
        <w:rPr>
          <w:rFonts w:eastAsia="仿宋"/>
          <w:color w:val="000000" w:themeColor="text1"/>
          <w:kern w:val="0"/>
          <w:sz w:val="32"/>
          <w:szCs w:val="32"/>
          <w14:textFill>
            <w14:solidFill>
              <w14:schemeClr w14:val="tx1"/>
            </w14:solidFill>
          </w14:textFill>
        </w:rPr>
        <w:t>05</w:t>
      </w:r>
      <w:r>
        <w:rPr>
          <w:rFonts w:hint="eastAsia" w:eastAsia="仿宋"/>
          <w:color w:val="000000" w:themeColor="text1"/>
          <w:kern w:val="0"/>
          <w:sz w:val="32"/>
          <w:szCs w:val="32"/>
          <w14:textFill>
            <w14:solidFill>
              <w14:schemeClr w14:val="tx1"/>
            </w14:solidFill>
          </w14:textFill>
        </w:rPr>
        <w:t>米×</w:t>
      </w:r>
      <w:r>
        <w:rPr>
          <w:rFonts w:eastAsia="仿宋"/>
          <w:color w:val="000000" w:themeColor="text1"/>
          <w:kern w:val="0"/>
          <w:sz w:val="32"/>
          <w:szCs w:val="32"/>
          <w14:textFill>
            <w14:solidFill>
              <w14:schemeClr w14:val="tx1"/>
            </w14:solidFill>
          </w14:textFill>
        </w:rPr>
        <w:t>68</w:t>
      </w:r>
      <w:r>
        <w:rPr>
          <w:rFonts w:hint="eastAsia" w:eastAsia="仿宋"/>
          <w:color w:val="000000" w:themeColor="text1"/>
          <w:kern w:val="0"/>
          <w:sz w:val="32"/>
          <w:szCs w:val="32"/>
          <w14:textFill>
            <w14:solidFill>
              <w14:schemeClr w14:val="tx1"/>
            </w14:solidFill>
          </w14:textFill>
        </w:rPr>
        <w:t>米。</w:t>
      </w:r>
    </w:p>
    <w:p w14:paraId="5F71211F">
      <w:pPr>
        <w:widowControl/>
        <w:adjustRightInd w:val="0"/>
        <w:snapToGrid w:val="0"/>
        <w:spacing w:line="560" w:lineRule="exact"/>
        <w:ind w:right="25" w:rightChars="12" w:firstLine="640" w:firstLineChars="20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3. 每块比赛场地须至少配备有更衣室、主客队各</w:t>
      </w:r>
      <w:r>
        <w:rPr>
          <w:rFonts w:hint="eastAsia" w:eastAsia="仿宋"/>
          <w:color w:val="000000" w:themeColor="text1"/>
          <w:kern w:val="0"/>
          <w:sz w:val="32"/>
          <w:szCs w:val="32"/>
          <w14:textFill>
            <w14:solidFill>
              <w14:schemeClr w14:val="tx1"/>
            </w14:solidFill>
          </w14:textFill>
        </w:rPr>
        <w:t>2</w:t>
      </w:r>
      <w:r>
        <w:rPr>
          <w:rFonts w:eastAsia="仿宋"/>
          <w:color w:val="000000" w:themeColor="text1"/>
          <w:kern w:val="0"/>
          <w:sz w:val="32"/>
          <w:szCs w:val="32"/>
          <w14:textFill>
            <w14:solidFill>
              <w14:schemeClr w14:val="tx1"/>
            </w14:solidFill>
          </w14:textFill>
        </w:rPr>
        <w:t>0</w:t>
      </w:r>
      <w:r>
        <w:rPr>
          <w:rFonts w:hint="eastAsia" w:eastAsia="仿宋"/>
          <w:color w:val="000000" w:themeColor="text1"/>
          <w:kern w:val="0"/>
          <w:sz w:val="32"/>
          <w:szCs w:val="32"/>
          <w14:textFill>
            <w14:solidFill>
              <w14:schemeClr w14:val="tx1"/>
            </w14:solidFill>
          </w14:textFill>
        </w:rPr>
        <w:t>座</w:t>
      </w:r>
      <w:r>
        <w:rPr>
          <w:rFonts w:eastAsia="仿宋"/>
          <w:color w:val="000000" w:themeColor="text1"/>
          <w:kern w:val="0"/>
          <w:sz w:val="32"/>
          <w:szCs w:val="32"/>
          <w14:textFill>
            <w14:solidFill>
              <w14:schemeClr w14:val="tx1"/>
            </w14:solidFill>
          </w14:textFill>
        </w:rPr>
        <w:t>替补席、四官席等竞赛设施。</w:t>
      </w:r>
    </w:p>
    <w:p w14:paraId="33FFBCA5">
      <w:pPr>
        <w:widowControl/>
        <w:adjustRightInd w:val="0"/>
        <w:snapToGrid w:val="0"/>
        <w:spacing w:line="560" w:lineRule="exact"/>
        <w:ind w:right="25" w:rightChars="12" w:firstLine="640" w:firstLineChars="20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 xml:space="preserve">4. </w:t>
      </w:r>
      <w:r>
        <w:rPr>
          <w:rFonts w:hint="eastAsia" w:eastAsia="仿宋"/>
          <w:color w:val="000000" w:themeColor="text1"/>
          <w:kern w:val="0"/>
          <w:sz w:val="32"/>
          <w:szCs w:val="32"/>
          <w14:textFill>
            <w14:solidFill>
              <w14:schemeClr w14:val="tx1"/>
            </w14:solidFill>
          </w14:textFill>
        </w:rPr>
        <w:t>决赛阶段</w:t>
      </w:r>
      <w:r>
        <w:rPr>
          <w:rFonts w:eastAsia="仿宋"/>
          <w:color w:val="000000" w:themeColor="text1"/>
          <w:kern w:val="0"/>
          <w:sz w:val="32"/>
          <w:szCs w:val="32"/>
          <w14:textFill>
            <w14:solidFill>
              <w14:schemeClr w14:val="tx1"/>
            </w14:solidFill>
          </w14:textFill>
        </w:rPr>
        <w:t>比赛场地需符合</w:t>
      </w:r>
      <w:r>
        <w:rPr>
          <w:rFonts w:hint="eastAsia" w:eastAsia="仿宋"/>
          <w:color w:val="000000" w:themeColor="text1"/>
          <w:kern w:val="0"/>
          <w:sz w:val="32"/>
          <w:szCs w:val="32"/>
          <w14:textFill>
            <w14:solidFill>
              <w14:schemeClr w14:val="tx1"/>
            </w14:solidFill>
          </w14:textFill>
        </w:rPr>
        <w:t>赛事</w:t>
      </w:r>
      <w:r>
        <w:rPr>
          <w:rFonts w:eastAsia="仿宋"/>
          <w:color w:val="000000" w:themeColor="text1"/>
          <w:kern w:val="0"/>
          <w:sz w:val="32"/>
          <w:szCs w:val="32"/>
          <w14:textFill>
            <w14:solidFill>
              <w14:schemeClr w14:val="tx1"/>
            </w14:solidFill>
          </w14:textFill>
        </w:rPr>
        <w:t>电视转播要求。</w:t>
      </w:r>
    </w:p>
    <w:p w14:paraId="0BF427BA">
      <w:pPr>
        <w:widowControl/>
        <w:adjustRightInd w:val="0"/>
        <w:snapToGrid w:val="0"/>
        <w:spacing w:line="560" w:lineRule="exact"/>
        <w:ind w:right="25" w:rightChars="12" w:firstLine="640" w:firstLineChars="20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 xml:space="preserve">5. </w:t>
      </w:r>
      <w:r>
        <w:rPr>
          <w:rFonts w:hint="eastAsia" w:eastAsia="仿宋"/>
          <w:color w:val="000000" w:themeColor="text1"/>
          <w:kern w:val="0"/>
          <w:sz w:val="32"/>
          <w:szCs w:val="32"/>
          <w14:textFill>
            <w14:solidFill>
              <w14:schemeClr w14:val="tx1"/>
            </w14:solidFill>
          </w14:textFill>
        </w:rPr>
        <w:t>决赛阶段</w:t>
      </w:r>
      <w:r>
        <w:rPr>
          <w:rFonts w:eastAsia="仿宋"/>
          <w:color w:val="000000" w:themeColor="text1"/>
          <w:kern w:val="0"/>
          <w:sz w:val="32"/>
          <w:szCs w:val="32"/>
          <w14:textFill>
            <w14:solidFill>
              <w14:schemeClr w14:val="tx1"/>
            </w14:solidFill>
          </w14:textFill>
        </w:rPr>
        <w:t>承办赛区至少有一块比赛场地配备有3000人以上看台，并符合观众入场的相关要求。</w:t>
      </w:r>
    </w:p>
    <w:p w14:paraId="7D499DC6">
      <w:pPr>
        <w:widowControl/>
        <w:adjustRightInd w:val="0"/>
        <w:snapToGrid w:val="0"/>
        <w:spacing w:line="560" w:lineRule="exact"/>
        <w:ind w:right="25" w:rightChars="12" w:firstLine="640" w:firstLineChars="20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 xml:space="preserve">6. </w:t>
      </w:r>
      <w:r>
        <w:rPr>
          <w:rFonts w:hint="eastAsia" w:eastAsia="仿宋"/>
          <w:color w:val="000000" w:themeColor="text1"/>
          <w:kern w:val="0"/>
          <w:sz w:val="32"/>
          <w:szCs w:val="32"/>
          <w14:textFill>
            <w14:solidFill>
              <w14:schemeClr w14:val="tx1"/>
            </w14:solidFill>
          </w14:textFill>
        </w:rPr>
        <w:t>优先考虑具备夜场电视转播条件比赛场地的承办赛区。</w:t>
      </w:r>
    </w:p>
    <w:p w14:paraId="3B8DD33E">
      <w:pPr>
        <w:pStyle w:val="4"/>
        <w:adjustRightInd w:val="0"/>
        <w:snapToGrid w:val="0"/>
        <w:spacing w:line="560" w:lineRule="exact"/>
        <w:ind w:right="25" w:rightChars="12" w:firstLine="640"/>
        <w:rPr>
          <w:rFonts w:ascii="楷体" w:hAnsi="楷体" w:eastAsia="楷体" w:cs="楷体"/>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（二）训练场地</w:t>
      </w:r>
    </w:p>
    <w:p w14:paraId="54C76388">
      <w:pPr>
        <w:widowControl/>
        <w:adjustRightInd w:val="0"/>
        <w:snapToGrid w:val="0"/>
        <w:spacing w:line="560" w:lineRule="exact"/>
        <w:ind w:right="25" w:rightChars="12" w:firstLine="640" w:firstLineChars="20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1.</w:t>
      </w:r>
      <w:r>
        <w:rPr>
          <w:rFonts w:eastAsia="仿宋"/>
          <w:color w:val="000000" w:themeColor="text1"/>
          <w:sz w:val="32"/>
          <w:szCs w:val="32"/>
          <w14:textFill>
            <w14:solidFill>
              <w14:schemeClr w14:val="tx1"/>
            </w14:solidFill>
          </w14:textFill>
        </w:rPr>
        <w:t>接待8支球队的</w:t>
      </w:r>
      <w:r>
        <w:rPr>
          <w:rFonts w:eastAsia="仿宋"/>
          <w:color w:val="000000" w:themeColor="text1"/>
          <w:kern w:val="0"/>
          <w:sz w:val="32"/>
          <w:szCs w:val="32"/>
          <w14:textFill>
            <w14:solidFill>
              <w14:schemeClr w14:val="tx1"/>
            </w14:solidFill>
          </w14:textFill>
        </w:rPr>
        <w:t>赛区训练场数量至少为</w:t>
      </w:r>
      <w:r>
        <w:rPr>
          <w:rFonts w:hint="eastAsia" w:eastAsia="仿宋"/>
          <w:color w:val="000000" w:themeColor="text1"/>
          <w:kern w:val="0"/>
          <w:sz w:val="32"/>
          <w:szCs w:val="32"/>
          <w14:textFill>
            <w14:solidFill>
              <w14:schemeClr w14:val="tx1"/>
            </w14:solidFill>
          </w14:textFill>
        </w:rPr>
        <w:t>4</w:t>
      </w:r>
      <w:r>
        <w:rPr>
          <w:rFonts w:eastAsia="仿宋"/>
          <w:color w:val="000000" w:themeColor="text1"/>
          <w:kern w:val="0"/>
          <w:sz w:val="32"/>
          <w:szCs w:val="32"/>
          <w14:textFill>
            <w14:solidFill>
              <w14:schemeClr w14:val="tx1"/>
            </w14:solidFill>
          </w14:textFill>
        </w:rPr>
        <w:t>块</w:t>
      </w:r>
      <w:r>
        <w:rPr>
          <w:rFonts w:hint="eastAsia" w:eastAsia="仿宋"/>
          <w:color w:val="000000" w:themeColor="text1"/>
          <w:kern w:val="0"/>
          <w:sz w:val="32"/>
          <w:szCs w:val="32"/>
          <w14:textFill>
            <w14:solidFill>
              <w14:schemeClr w14:val="tx1"/>
            </w14:solidFill>
          </w14:textFill>
        </w:rPr>
        <w:t>，</w:t>
      </w:r>
      <w:r>
        <w:rPr>
          <w:rFonts w:eastAsia="仿宋"/>
          <w:color w:val="000000" w:themeColor="text1"/>
          <w:sz w:val="32"/>
          <w:szCs w:val="32"/>
          <w14:textFill>
            <w14:solidFill>
              <w14:schemeClr w14:val="tx1"/>
            </w14:solidFill>
          </w14:textFill>
        </w:rPr>
        <w:t>接待1</w:t>
      </w:r>
      <w:r>
        <w:rPr>
          <w:rFonts w:hint="eastAsia" w:eastAsia="仿宋"/>
          <w:color w:val="000000" w:themeColor="text1"/>
          <w:sz w:val="32"/>
          <w:szCs w:val="32"/>
          <w14:textFill>
            <w14:solidFill>
              <w14:schemeClr w14:val="tx1"/>
            </w14:solidFill>
          </w14:textFill>
        </w:rPr>
        <w:t>1</w:t>
      </w:r>
      <w:r>
        <w:rPr>
          <w:rFonts w:eastAsia="仿宋"/>
          <w:color w:val="000000" w:themeColor="text1"/>
          <w:sz w:val="32"/>
          <w:szCs w:val="32"/>
          <w14:textFill>
            <w14:solidFill>
              <w14:schemeClr w14:val="tx1"/>
            </w14:solidFill>
          </w14:textFill>
        </w:rPr>
        <w:t>支球队的</w:t>
      </w:r>
      <w:r>
        <w:rPr>
          <w:rFonts w:eastAsia="仿宋"/>
          <w:color w:val="000000" w:themeColor="text1"/>
          <w:kern w:val="0"/>
          <w:sz w:val="32"/>
          <w:szCs w:val="32"/>
          <w14:textFill>
            <w14:solidFill>
              <w14:schemeClr w14:val="tx1"/>
            </w14:solidFill>
          </w14:textFill>
        </w:rPr>
        <w:t>赛区训练场数量至少为6块，训练场地应相对集中。</w:t>
      </w:r>
    </w:p>
    <w:p w14:paraId="47F52C35">
      <w:pPr>
        <w:widowControl/>
        <w:adjustRightInd w:val="0"/>
        <w:snapToGrid w:val="0"/>
        <w:spacing w:line="560" w:lineRule="exact"/>
        <w:ind w:right="25" w:rightChars="12" w:firstLine="640" w:firstLineChars="20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2. 场地规格应符合《</w:t>
      </w:r>
      <w:r>
        <w:rPr>
          <w:rFonts w:hint="eastAsia" w:eastAsia="仿宋"/>
          <w:color w:val="000000" w:themeColor="text1"/>
          <w:kern w:val="0"/>
          <w:sz w:val="32"/>
          <w:szCs w:val="32"/>
          <w14:textFill>
            <w14:solidFill>
              <w14:schemeClr w14:val="tx1"/>
            </w14:solidFill>
          </w14:textFill>
        </w:rPr>
        <w:t>足球竞赛规则</w:t>
      </w:r>
      <w:r>
        <w:rPr>
          <w:rFonts w:eastAsia="仿宋"/>
          <w:color w:val="000000" w:themeColor="text1"/>
          <w:kern w:val="0"/>
          <w:sz w:val="32"/>
          <w:szCs w:val="32"/>
          <w14:textFill>
            <w14:solidFill>
              <w14:schemeClr w14:val="tx1"/>
            </w14:solidFill>
          </w14:textFill>
        </w:rPr>
        <w:t>》规定，为天然草皮并应确保平整。</w:t>
      </w:r>
    </w:p>
    <w:p w14:paraId="290E6E8A">
      <w:pPr>
        <w:widowControl/>
        <w:adjustRightInd w:val="0"/>
        <w:snapToGrid w:val="0"/>
        <w:spacing w:line="560" w:lineRule="exact"/>
        <w:ind w:right="25" w:rightChars="12" w:firstLine="640" w:firstLineChars="20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3. 训练场地</w:t>
      </w:r>
      <w:r>
        <w:rPr>
          <w:rFonts w:hint="eastAsia" w:eastAsia="仿宋"/>
          <w:color w:val="000000" w:themeColor="text1"/>
          <w:kern w:val="0"/>
          <w:sz w:val="32"/>
          <w:szCs w:val="32"/>
          <w14:textFill>
            <w14:solidFill>
              <w14:schemeClr w14:val="tx1"/>
            </w14:solidFill>
          </w14:textFill>
        </w:rPr>
        <w:t>和</w:t>
      </w:r>
      <w:r>
        <w:rPr>
          <w:rFonts w:eastAsia="仿宋"/>
          <w:color w:val="000000" w:themeColor="text1"/>
          <w:kern w:val="0"/>
          <w:sz w:val="32"/>
          <w:szCs w:val="32"/>
          <w14:textFill>
            <w14:solidFill>
              <w14:schemeClr w14:val="tx1"/>
            </w14:solidFill>
          </w14:textFill>
        </w:rPr>
        <w:t>比赛场地草坪应统一质量标准。</w:t>
      </w:r>
    </w:p>
    <w:p w14:paraId="46171E69">
      <w:pPr>
        <w:pStyle w:val="4"/>
        <w:adjustRightInd w:val="0"/>
        <w:snapToGrid w:val="0"/>
        <w:spacing w:line="560" w:lineRule="exact"/>
        <w:ind w:right="25" w:rightChars="12" w:firstLine="640"/>
        <w:rPr>
          <w:rFonts w:ascii="楷体" w:hAnsi="楷体" w:eastAsia="楷体" w:cs="楷体"/>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（三）后勤生活保障</w:t>
      </w:r>
    </w:p>
    <w:p w14:paraId="7185D1CB">
      <w:pPr>
        <w:widowControl/>
        <w:adjustRightInd w:val="0"/>
        <w:snapToGrid w:val="0"/>
        <w:spacing w:line="560" w:lineRule="exact"/>
        <w:ind w:right="25" w:rightChars="12" w:firstLine="640" w:firstLineChars="20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1. 原则上，承办赛区应提供竞赛官员和球队各一家酒店；如安排竞赛官员与球队入驻同一酒店，则居住区域需要有明显的空间及动线区分。</w:t>
      </w:r>
    </w:p>
    <w:p w14:paraId="586009C2">
      <w:pPr>
        <w:widowControl/>
        <w:adjustRightInd w:val="0"/>
        <w:snapToGrid w:val="0"/>
        <w:spacing w:line="560" w:lineRule="exact"/>
        <w:ind w:right="25" w:rightChars="12" w:firstLine="640" w:firstLineChars="20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2. 酒店距离训练、比赛场地车程均在20分钟以内。</w:t>
      </w:r>
    </w:p>
    <w:p w14:paraId="375B8264">
      <w:pPr>
        <w:widowControl/>
        <w:adjustRightInd w:val="0"/>
        <w:snapToGrid w:val="0"/>
        <w:spacing w:line="560" w:lineRule="exact"/>
        <w:ind w:right="25" w:rightChars="12" w:firstLine="640" w:firstLineChars="20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 xml:space="preserve">3. </w:t>
      </w:r>
      <w:r>
        <w:rPr>
          <w:rFonts w:hint="eastAsia" w:eastAsia="仿宋"/>
          <w:color w:val="000000" w:themeColor="text1"/>
          <w:kern w:val="0"/>
          <w:sz w:val="32"/>
          <w:szCs w:val="32"/>
          <w14:textFill>
            <w14:solidFill>
              <w14:schemeClr w14:val="tx1"/>
            </w14:solidFill>
          </w14:textFill>
        </w:rPr>
        <w:t>酒店餐饮所提供食物、饮品应符合兴奋剂检测且球员训练、比赛所需科学配餐要求。</w:t>
      </w:r>
      <w:r>
        <w:rPr>
          <w:rFonts w:eastAsia="仿宋"/>
          <w:color w:val="000000" w:themeColor="text1"/>
          <w:kern w:val="0"/>
          <w:sz w:val="32"/>
          <w:szCs w:val="32"/>
          <w14:textFill>
            <w14:solidFill>
              <w14:schemeClr w14:val="tx1"/>
            </w14:solidFill>
          </w14:textFill>
        </w:rPr>
        <w:t>酒店应具备提供清真餐的条件。</w:t>
      </w:r>
    </w:p>
    <w:p w14:paraId="6C9A0BDF">
      <w:pPr>
        <w:widowControl/>
        <w:adjustRightInd w:val="0"/>
        <w:snapToGrid w:val="0"/>
        <w:spacing w:line="560" w:lineRule="exact"/>
        <w:ind w:right="25" w:rightChars="12" w:firstLine="640" w:firstLineChars="20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4. 酒店房间保证24小时提供热水。</w:t>
      </w:r>
    </w:p>
    <w:p w14:paraId="192BCC21">
      <w:pPr>
        <w:widowControl/>
        <w:adjustRightInd w:val="0"/>
        <w:snapToGrid w:val="0"/>
        <w:spacing w:line="560" w:lineRule="exact"/>
        <w:ind w:right="25" w:rightChars="12" w:firstLine="640" w:firstLineChars="20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5. 酒店应</w:t>
      </w:r>
      <w:r>
        <w:rPr>
          <w:rFonts w:hint="eastAsia" w:eastAsia="仿宋"/>
          <w:color w:val="000000" w:themeColor="text1"/>
          <w:kern w:val="0"/>
          <w:sz w:val="32"/>
          <w:szCs w:val="32"/>
          <w14:textFill>
            <w14:solidFill>
              <w14:schemeClr w14:val="tx1"/>
            </w14:solidFill>
          </w14:textFill>
        </w:rPr>
        <w:t>免费</w:t>
      </w:r>
      <w:r>
        <w:rPr>
          <w:rFonts w:eastAsia="仿宋"/>
          <w:color w:val="000000" w:themeColor="text1"/>
          <w:kern w:val="0"/>
          <w:sz w:val="32"/>
          <w:szCs w:val="32"/>
          <w14:textFill>
            <w14:solidFill>
              <w14:schemeClr w14:val="tx1"/>
            </w14:solidFill>
          </w14:textFill>
        </w:rPr>
        <w:t>提供</w:t>
      </w:r>
      <w:r>
        <w:rPr>
          <w:rFonts w:hint="eastAsia" w:eastAsia="仿宋"/>
          <w:color w:val="000000" w:themeColor="text1"/>
          <w:kern w:val="0"/>
          <w:sz w:val="32"/>
          <w:szCs w:val="32"/>
          <w14:textFill>
            <w14:solidFill>
              <w14:schemeClr w14:val="tx1"/>
            </w14:solidFill>
          </w14:textFill>
        </w:rPr>
        <w:t>洗衣房或</w:t>
      </w:r>
      <w:r>
        <w:rPr>
          <w:rFonts w:eastAsia="仿宋"/>
          <w:color w:val="000000" w:themeColor="text1"/>
          <w:kern w:val="0"/>
          <w:sz w:val="32"/>
          <w:szCs w:val="32"/>
          <w14:textFill>
            <w14:solidFill>
              <w14:schemeClr w14:val="tx1"/>
            </w14:solidFill>
          </w14:textFill>
        </w:rPr>
        <w:t>符合赛事标准</w:t>
      </w:r>
      <w:r>
        <w:rPr>
          <w:rFonts w:hint="eastAsia" w:eastAsia="仿宋"/>
          <w:color w:val="000000" w:themeColor="text1"/>
          <w:kern w:val="0"/>
          <w:sz w:val="32"/>
          <w:szCs w:val="32"/>
          <w14:textFill>
            <w14:solidFill>
              <w14:schemeClr w14:val="tx1"/>
            </w14:solidFill>
          </w14:textFill>
        </w:rPr>
        <w:t>（每人每天3件）</w:t>
      </w:r>
      <w:r>
        <w:rPr>
          <w:rFonts w:eastAsia="仿宋"/>
          <w:color w:val="000000" w:themeColor="text1"/>
          <w:kern w:val="0"/>
          <w:sz w:val="32"/>
          <w:szCs w:val="32"/>
          <w14:textFill>
            <w14:solidFill>
              <w14:schemeClr w14:val="tx1"/>
            </w14:solidFill>
          </w14:textFill>
        </w:rPr>
        <w:t>的洗衣服务，</w:t>
      </w:r>
      <w:r>
        <w:rPr>
          <w:rFonts w:hint="eastAsia" w:eastAsia="仿宋"/>
          <w:color w:val="000000" w:themeColor="text1"/>
          <w:kern w:val="0"/>
          <w:sz w:val="32"/>
          <w:szCs w:val="32"/>
          <w14:textFill>
            <w14:solidFill>
              <w14:schemeClr w14:val="tx1"/>
            </w14:solidFill>
          </w14:textFill>
        </w:rPr>
        <w:t>超出标准洗衣服务按照酒店标准收取费用。</w:t>
      </w:r>
    </w:p>
    <w:p w14:paraId="70F77996">
      <w:pPr>
        <w:widowControl/>
        <w:adjustRightInd w:val="0"/>
        <w:snapToGrid w:val="0"/>
        <w:spacing w:line="560" w:lineRule="exact"/>
        <w:ind w:right="25" w:rightChars="12" w:firstLine="640" w:firstLineChars="20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6. 酒店应免费提供健身房及康体设施。</w:t>
      </w:r>
    </w:p>
    <w:p w14:paraId="5EF7EBE5">
      <w:pPr>
        <w:widowControl/>
        <w:adjustRightInd w:val="0"/>
        <w:snapToGrid w:val="0"/>
        <w:spacing w:line="560" w:lineRule="exact"/>
        <w:ind w:right="25" w:rightChars="12" w:firstLine="640" w:firstLineChars="20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7. 酒店应提供快递收发服务。</w:t>
      </w:r>
    </w:p>
    <w:p w14:paraId="36285ABD">
      <w:pPr>
        <w:widowControl/>
        <w:adjustRightInd w:val="0"/>
        <w:snapToGrid w:val="0"/>
        <w:spacing w:line="560" w:lineRule="exact"/>
        <w:ind w:right="25" w:rightChars="12" w:firstLine="640" w:firstLineChars="20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 xml:space="preserve">8. </w:t>
      </w:r>
      <w:r>
        <w:rPr>
          <w:rFonts w:hint="eastAsia" w:eastAsia="仿宋"/>
          <w:color w:val="000000" w:themeColor="text1"/>
          <w:kern w:val="0"/>
          <w:sz w:val="32"/>
          <w:szCs w:val="32"/>
          <w14:textFill>
            <w14:solidFill>
              <w14:schemeClr w14:val="tx1"/>
            </w14:solidFill>
          </w14:textFill>
        </w:rPr>
        <w:t>酒店应提供符合标准的生活用饮用水。</w:t>
      </w:r>
    </w:p>
    <w:p w14:paraId="300F9D54">
      <w:pPr>
        <w:widowControl/>
        <w:adjustRightInd w:val="0"/>
        <w:snapToGrid w:val="0"/>
        <w:spacing w:line="560" w:lineRule="exact"/>
        <w:ind w:right="25" w:rightChars="12" w:firstLine="640" w:firstLineChars="20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9. 球队住宿的酒店须满足以下要求：</w:t>
      </w:r>
    </w:p>
    <w:p w14:paraId="2793A932">
      <w:pPr>
        <w:widowControl/>
        <w:adjustRightInd w:val="0"/>
        <w:snapToGrid w:val="0"/>
        <w:spacing w:line="560" w:lineRule="exact"/>
        <w:ind w:right="25" w:rightChars="12" w:firstLine="640" w:firstLineChars="20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（1）能同时接待所有参赛球队，</w:t>
      </w:r>
      <w:r>
        <w:rPr>
          <w:rFonts w:hint="eastAsia" w:eastAsia="仿宋"/>
          <w:color w:val="000000" w:themeColor="text1"/>
          <w:kern w:val="0"/>
          <w:sz w:val="32"/>
          <w:szCs w:val="32"/>
          <w14:textFill>
            <w14:solidFill>
              <w14:schemeClr w14:val="tx1"/>
            </w14:solidFill>
          </w14:textFill>
        </w:rPr>
        <w:t>尽量安排在同一酒店</w:t>
      </w:r>
      <w:r>
        <w:rPr>
          <w:rFonts w:eastAsia="仿宋"/>
          <w:color w:val="000000" w:themeColor="text1"/>
          <w:kern w:val="0"/>
          <w:sz w:val="32"/>
          <w:szCs w:val="32"/>
          <w14:textFill>
            <w14:solidFill>
              <w14:schemeClr w14:val="tx1"/>
            </w14:solidFill>
          </w14:textFill>
        </w:rPr>
        <w:t>并为每队提供单独楼层。</w:t>
      </w:r>
      <w:r>
        <w:rPr>
          <w:rFonts w:hint="eastAsia" w:eastAsia="仿宋"/>
          <w:color w:val="000000" w:themeColor="text1"/>
          <w:kern w:val="0"/>
          <w:sz w:val="32"/>
          <w:szCs w:val="32"/>
          <w14:textFill>
            <w14:solidFill>
              <w14:schemeClr w14:val="tx1"/>
            </w14:solidFill>
          </w14:textFill>
        </w:rPr>
        <w:t>如无法安排在同一酒店，应为各球队提供相同的住宿标准。</w:t>
      </w:r>
    </w:p>
    <w:p w14:paraId="07FBF569">
      <w:pPr>
        <w:widowControl/>
        <w:adjustRightInd w:val="0"/>
        <w:snapToGrid w:val="0"/>
        <w:spacing w:line="560" w:lineRule="exact"/>
        <w:ind w:right="25" w:rightChars="12" w:firstLine="640" w:firstLineChars="20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（2）</w:t>
      </w:r>
      <w:r>
        <w:rPr>
          <w:rFonts w:hint="eastAsia" w:eastAsia="仿宋"/>
          <w:color w:val="000000" w:themeColor="text1"/>
          <w:kern w:val="0"/>
          <w:sz w:val="32"/>
          <w:szCs w:val="32"/>
          <w14:textFill>
            <w14:solidFill>
              <w14:schemeClr w14:val="tx1"/>
            </w14:solidFill>
          </w14:textFill>
        </w:rPr>
        <w:t>标准内</w:t>
      </w:r>
      <w:r>
        <w:rPr>
          <w:rFonts w:eastAsia="仿宋"/>
          <w:color w:val="000000" w:themeColor="text1"/>
          <w:kern w:val="0"/>
          <w:sz w:val="32"/>
          <w:szCs w:val="32"/>
          <w14:textFill>
            <w14:solidFill>
              <w14:schemeClr w14:val="tx1"/>
            </w14:solidFill>
          </w14:textFill>
        </w:rPr>
        <w:t>可为每队提供14个</w:t>
      </w:r>
      <w:r>
        <w:rPr>
          <w:rFonts w:hint="eastAsia" w:eastAsia="仿宋"/>
          <w:color w:val="000000" w:themeColor="text1"/>
          <w:kern w:val="0"/>
          <w:sz w:val="32"/>
          <w:szCs w:val="32"/>
          <w14:textFill>
            <w14:solidFill>
              <w14:schemeClr w14:val="tx1"/>
            </w14:solidFill>
          </w14:textFill>
        </w:rPr>
        <w:t>双人</w:t>
      </w:r>
      <w:r>
        <w:rPr>
          <w:rFonts w:eastAsia="仿宋"/>
          <w:color w:val="000000" w:themeColor="text1"/>
          <w:kern w:val="0"/>
          <w:sz w:val="32"/>
          <w:szCs w:val="32"/>
          <w14:textFill>
            <w14:solidFill>
              <w14:schemeClr w14:val="tx1"/>
            </w14:solidFill>
          </w14:textFill>
        </w:rPr>
        <w:t>标准间</w:t>
      </w:r>
      <w:r>
        <w:rPr>
          <w:rFonts w:hint="eastAsia" w:eastAsia="仿宋"/>
          <w:color w:val="000000" w:themeColor="text1"/>
          <w:kern w:val="0"/>
          <w:sz w:val="32"/>
          <w:szCs w:val="32"/>
          <w14:textFill>
            <w14:solidFill>
              <w14:schemeClr w14:val="tx1"/>
            </w14:solidFill>
          </w14:textFill>
        </w:rPr>
        <w:t>和</w:t>
      </w:r>
      <w:r>
        <w:rPr>
          <w:rFonts w:eastAsia="仿宋"/>
          <w:color w:val="000000" w:themeColor="text1"/>
          <w:kern w:val="0"/>
          <w:sz w:val="32"/>
          <w:szCs w:val="32"/>
          <w14:textFill>
            <w14:solidFill>
              <w14:schemeClr w14:val="tx1"/>
            </w14:solidFill>
          </w14:textFill>
        </w:rPr>
        <w:t>4个单人间。</w:t>
      </w:r>
    </w:p>
    <w:p w14:paraId="561D8715">
      <w:pPr>
        <w:widowControl/>
        <w:adjustRightInd w:val="0"/>
        <w:snapToGrid w:val="0"/>
        <w:spacing w:line="560" w:lineRule="exact"/>
        <w:ind w:right="25" w:rightChars="12" w:firstLine="640" w:firstLineChars="20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（3）酒店餐厅可满足250人同时就餐（自助餐一日三餐）。</w:t>
      </w:r>
    </w:p>
    <w:p w14:paraId="639D7AD0">
      <w:pPr>
        <w:widowControl/>
        <w:adjustRightInd w:val="0"/>
        <w:snapToGrid w:val="0"/>
        <w:spacing w:line="560" w:lineRule="exact"/>
        <w:ind w:right="25" w:rightChars="12" w:firstLine="640" w:firstLineChars="20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（4）</w:t>
      </w:r>
      <w:bookmarkStart w:id="0" w:name="OLE_LINK1"/>
      <w:r>
        <w:rPr>
          <w:rFonts w:eastAsia="仿宋"/>
          <w:color w:val="000000" w:themeColor="text1"/>
          <w:kern w:val="0"/>
          <w:sz w:val="32"/>
          <w:szCs w:val="32"/>
          <w14:textFill>
            <w14:solidFill>
              <w14:schemeClr w14:val="tx1"/>
            </w14:solidFill>
          </w14:textFill>
        </w:rPr>
        <w:t>应免费提供2间可容纳30人以上的会议室为球队使用，并配备投影仪、电视机、大白板、双色白板笔等设施，提供至少30人使用的桌椅（按教室方式排列）。</w:t>
      </w:r>
      <w:bookmarkEnd w:id="0"/>
    </w:p>
    <w:p w14:paraId="129B8999">
      <w:pPr>
        <w:widowControl/>
        <w:adjustRightInd w:val="0"/>
        <w:snapToGrid w:val="0"/>
        <w:spacing w:line="560" w:lineRule="exact"/>
        <w:ind w:right="25" w:rightChars="12" w:firstLine="640" w:firstLineChars="20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（5）有足够数量的房间和其他设施接待参赛球队的超编人员</w:t>
      </w:r>
      <w:r>
        <w:rPr>
          <w:rFonts w:hint="eastAsia" w:eastAsia="仿宋"/>
          <w:color w:val="000000" w:themeColor="text1"/>
          <w:kern w:val="0"/>
          <w:sz w:val="32"/>
          <w:szCs w:val="32"/>
          <w14:textFill>
            <w14:solidFill>
              <w14:schemeClr w14:val="tx1"/>
            </w14:solidFill>
          </w14:textFill>
        </w:rPr>
        <w:t>或额外单间需求</w:t>
      </w:r>
      <w:r>
        <w:rPr>
          <w:rFonts w:eastAsia="仿宋"/>
          <w:color w:val="000000" w:themeColor="text1"/>
          <w:kern w:val="0"/>
          <w:sz w:val="32"/>
          <w:szCs w:val="32"/>
          <w14:textFill>
            <w14:solidFill>
              <w14:schemeClr w14:val="tx1"/>
            </w14:solidFill>
          </w14:textFill>
        </w:rPr>
        <w:t>。</w:t>
      </w:r>
    </w:p>
    <w:p w14:paraId="48914361">
      <w:pPr>
        <w:widowControl/>
        <w:adjustRightInd w:val="0"/>
        <w:snapToGrid w:val="0"/>
        <w:spacing w:line="560" w:lineRule="exact"/>
        <w:ind w:right="25" w:rightChars="12" w:firstLine="640" w:firstLineChars="20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10 . 竞赛官员住宿的酒店需提供以下服务：</w:t>
      </w:r>
    </w:p>
    <w:p w14:paraId="7CA04F0E">
      <w:pPr>
        <w:widowControl/>
        <w:adjustRightInd w:val="0"/>
        <w:snapToGrid w:val="0"/>
        <w:spacing w:line="560" w:lineRule="exact"/>
        <w:ind w:right="25" w:rightChars="12" w:firstLine="640" w:firstLineChars="20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（1）应为竞赛官员提供单独楼层。</w:t>
      </w:r>
    </w:p>
    <w:p w14:paraId="0BB4F4DD">
      <w:pPr>
        <w:widowControl/>
        <w:adjustRightInd w:val="0"/>
        <w:snapToGrid w:val="0"/>
        <w:spacing w:line="560" w:lineRule="exact"/>
        <w:ind w:right="25" w:rightChars="12" w:firstLine="640" w:firstLineChars="20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（2）中足联官员、比赛监督和裁判监督为单人间，裁判员</w:t>
      </w:r>
      <w:r>
        <w:rPr>
          <w:rFonts w:hint="eastAsia" w:eastAsia="仿宋"/>
          <w:color w:val="000000" w:themeColor="text1"/>
          <w:kern w:val="0"/>
          <w:sz w:val="32"/>
          <w:szCs w:val="32"/>
          <w14:textFill>
            <w14:solidFill>
              <w14:schemeClr w14:val="tx1"/>
            </w14:solidFill>
          </w14:textFill>
        </w:rPr>
        <w:t>等</w:t>
      </w:r>
      <w:r>
        <w:rPr>
          <w:rFonts w:eastAsia="仿宋"/>
          <w:color w:val="000000" w:themeColor="text1"/>
          <w:kern w:val="0"/>
          <w:sz w:val="32"/>
          <w:szCs w:val="32"/>
          <w14:textFill>
            <w14:solidFill>
              <w14:schemeClr w14:val="tx1"/>
            </w14:solidFill>
          </w14:textFill>
        </w:rPr>
        <w:t>为双人标准间。</w:t>
      </w:r>
    </w:p>
    <w:p w14:paraId="1AB08EEA">
      <w:pPr>
        <w:widowControl/>
        <w:adjustRightInd w:val="0"/>
        <w:snapToGrid w:val="0"/>
        <w:spacing w:line="560" w:lineRule="exact"/>
        <w:ind w:right="25" w:rightChars="12" w:firstLine="640" w:firstLineChars="20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（3）独立的用餐区。</w:t>
      </w:r>
    </w:p>
    <w:p w14:paraId="49D0D768">
      <w:pPr>
        <w:widowControl/>
        <w:adjustRightInd w:val="0"/>
        <w:snapToGrid w:val="0"/>
        <w:spacing w:line="560" w:lineRule="exact"/>
        <w:ind w:right="25" w:rightChars="12" w:firstLine="640" w:firstLineChars="20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（4）应免费提供1间可容纳30人以上的会议室为竞赛官员使用，并配备投影仪、电视机、大白板、双色白板笔等设施，提供至少30人使用的桌椅（按教室方式排列）。</w:t>
      </w:r>
    </w:p>
    <w:p w14:paraId="1D6A9498">
      <w:pPr>
        <w:widowControl/>
        <w:adjustRightInd w:val="0"/>
        <w:snapToGrid w:val="0"/>
        <w:spacing w:line="560" w:lineRule="exact"/>
        <w:ind w:right="25" w:rightChars="12" w:firstLine="640" w:firstLineChars="20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（5）应具备其他临时小型会议需要的会议室（一般20人以内）。</w:t>
      </w:r>
    </w:p>
    <w:p w14:paraId="51377473">
      <w:pPr>
        <w:widowControl/>
        <w:adjustRightInd w:val="0"/>
        <w:snapToGrid w:val="0"/>
        <w:spacing w:line="560" w:lineRule="exact"/>
        <w:ind w:right="25" w:rightChars="12" w:firstLine="640" w:firstLineChars="200"/>
        <w:rPr>
          <w:rFonts w:ascii="楷体" w:hAnsi="楷体" w:eastAsia="楷体" w:cs="楷体"/>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（四）交通保障</w:t>
      </w:r>
    </w:p>
    <w:p w14:paraId="5737C216">
      <w:pPr>
        <w:widowControl/>
        <w:adjustRightInd w:val="0"/>
        <w:snapToGrid w:val="0"/>
        <w:spacing w:line="560" w:lineRule="exact"/>
        <w:ind w:right="25" w:rightChars="12" w:firstLine="640" w:firstLineChars="20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1. 须提供球队大巴和行李车为各球队抵离赛区及训练、比赛期间使用，抵离赛区费用由球队承担。</w:t>
      </w:r>
    </w:p>
    <w:p w14:paraId="69C4592F">
      <w:pPr>
        <w:widowControl/>
        <w:adjustRightInd w:val="0"/>
        <w:snapToGrid w:val="0"/>
        <w:spacing w:line="560" w:lineRule="exact"/>
        <w:ind w:right="25" w:rightChars="12" w:firstLine="640" w:firstLineChars="20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2. 须提供小型客车为接送竞赛官员抵离赛区使用。</w:t>
      </w:r>
    </w:p>
    <w:p w14:paraId="10D03C83">
      <w:pPr>
        <w:widowControl/>
        <w:adjustRightInd w:val="0"/>
        <w:snapToGrid w:val="0"/>
        <w:spacing w:line="560" w:lineRule="exact"/>
        <w:ind w:right="25" w:rightChars="12" w:firstLine="640" w:firstLineChars="20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3. 须提供专用工作车在</w:t>
      </w:r>
      <w:r>
        <w:rPr>
          <w:rFonts w:hint="eastAsia" w:eastAsia="仿宋"/>
          <w:color w:val="000000" w:themeColor="text1"/>
          <w:kern w:val="0"/>
          <w:sz w:val="32"/>
          <w:szCs w:val="32"/>
          <w14:textFill>
            <w14:solidFill>
              <w14:schemeClr w14:val="tx1"/>
            </w14:solidFill>
          </w14:textFill>
        </w:rPr>
        <w:t>比赛</w:t>
      </w:r>
      <w:r>
        <w:rPr>
          <w:rFonts w:eastAsia="仿宋"/>
          <w:color w:val="000000" w:themeColor="text1"/>
          <w:kern w:val="0"/>
          <w:sz w:val="32"/>
          <w:szCs w:val="32"/>
          <w14:textFill>
            <w14:solidFill>
              <w14:schemeClr w14:val="tx1"/>
            </w14:solidFill>
          </w14:textFill>
        </w:rPr>
        <w:t>日为竞赛官员使用，满足赛区协调员、比赛监督和裁判组不同时间抵达赛场的需求。</w:t>
      </w:r>
    </w:p>
    <w:p w14:paraId="311D2EB9">
      <w:pPr>
        <w:widowControl/>
        <w:adjustRightInd w:val="0"/>
        <w:snapToGrid w:val="0"/>
        <w:spacing w:line="560" w:lineRule="exact"/>
        <w:ind w:right="25" w:rightChars="12" w:firstLine="640" w:firstLineChars="20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4. 须提供两辆备用工作车，分别在球队和竞赛官员驻地，为临时医疗服务和紧急工作需要使用。</w:t>
      </w:r>
    </w:p>
    <w:p w14:paraId="783EAEA0">
      <w:pPr>
        <w:widowControl/>
        <w:adjustRightInd w:val="0"/>
        <w:snapToGrid w:val="0"/>
        <w:spacing w:line="560" w:lineRule="exact"/>
        <w:ind w:right="25" w:rightChars="12" w:firstLine="640" w:firstLineChars="200"/>
        <w:rPr>
          <w:rFonts w:ascii="楷体" w:hAnsi="楷体" w:eastAsia="楷体" w:cs="楷体"/>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（五）竞赛保障</w:t>
      </w:r>
    </w:p>
    <w:p w14:paraId="1D9DF635">
      <w:pPr>
        <w:widowControl/>
        <w:adjustRightInd w:val="0"/>
        <w:snapToGrid w:val="0"/>
        <w:spacing w:line="560" w:lineRule="exact"/>
        <w:ind w:right="25" w:rightChars="12" w:firstLine="640" w:firstLineChars="20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1. 应配备竞赛组织人员配合中足联开展工作，其中：</w:t>
      </w:r>
    </w:p>
    <w:p w14:paraId="7D6627BF">
      <w:pPr>
        <w:widowControl/>
        <w:adjustRightInd w:val="0"/>
        <w:snapToGrid w:val="0"/>
        <w:spacing w:line="560" w:lineRule="exact"/>
        <w:ind w:right="25" w:rightChars="12" w:firstLine="640" w:firstLineChars="20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（1）具有足球赛事组织工作经验的工作人员若干</w:t>
      </w:r>
      <w:r>
        <w:rPr>
          <w:rFonts w:hint="eastAsia" w:eastAsia="仿宋"/>
          <w:color w:val="000000" w:themeColor="text1"/>
          <w:kern w:val="0"/>
          <w:sz w:val="32"/>
          <w:szCs w:val="32"/>
          <w14:textFill>
            <w14:solidFill>
              <w14:schemeClr w14:val="tx1"/>
            </w14:solidFill>
          </w14:textFill>
        </w:rPr>
        <w:t>。</w:t>
      </w:r>
    </w:p>
    <w:p w14:paraId="1EB30829">
      <w:pPr>
        <w:widowControl/>
        <w:adjustRightInd w:val="0"/>
        <w:snapToGrid w:val="0"/>
        <w:spacing w:line="560" w:lineRule="exact"/>
        <w:ind w:right="25" w:rightChars="12" w:firstLine="640" w:firstLineChars="20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（2）</w:t>
      </w:r>
      <w:r>
        <w:rPr>
          <w:rFonts w:hint="eastAsia" w:eastAsia="仿宋"/>
          <w:color w:val="000000" w:themeColor="text1"/>
          <w:kern w:val="0"/>
          <w:sz w:val="32"/>
          <w:szCs w:val="32"/>
          <w14:textFill>
            <w14:solidFill>
              <w14:schemeClr w14:val="tx1"/>
            </w14:solidFill>
          </w14:textFill>
        </w:rPr>
        <w:t xml:space="preserve"> </w:t>
      </w:r>
      <w:r>
        <w:rPr>
          <w:rFonts w:eastAsia="仿宋"/>
          <w:color w:val="000000" w:themeColor="text1"/>
          <w:kern w:val="0"/>
          <w:sz w:val="32"/>
          <w:szCs w:val="32"/>
          <w14:textFill>
            <w14:solidFill>
              <w14:schemeClr w14:val="tx1"/>
            </w14:solidFill>
          </w14:textFill>
        </w:rPr>
        <w:t>旗手（每场）：</w:t>
      </w:r>
      <w:r>
        <w:rPr>
          <w:rFonts w:hint="eastAsia" w:eastAsia="仿宋"/>
          <w:color w:val="000000" w:themeColor="text1"/>
          <w:kern w:val="0"/>
          <w:sz w:val="32"/>
          <w:szCs w:val="32"/>
          <w14:textFill>
            <w14:solidFill>
              <w14:schemeClr w14:val="tx1"/>
            </w14:solidFill>
          </w14:textFill>
        </w:rPr>
        <w:t>12</w:t>
      </w:r>
      <w:r>
        <w:rPr>
          <w:rFonts w:eastAsia="仿宋"/>
          <w:color w:val="000000" w:themeColor="text1"/>
          <w:kern w:val="0"/>
          <w:sz w:val="32"/>
          <w:szCs w:val="32"/>
          <w14:textFill>
            <w14:solidFill>
              <w14:schemeClr w14:val="tx1"/>
            </w14:solidFill>
          </w14:textFill>
        </w:rPr>
        <w:t>人（可由</w:t>
      </w:r>
      <w:r>
        <w:rPr>
          <w:rFonts w:hint="eastAsia" w:eastAsia="仿宋"/>
          <w:color w:val="000000" w:themeColor="text1"/>
          <w:kern w:val="0"/>
          <w:sz w:val="32"/>
          <w:szCs w:val="32"/>
          <w14:textFill>
            <w14:solidFill>
              <w14:schemeClr w14:val="tx1"/>
            </w14:solidFill>
          </w14:textFill>
        </w:rPr>
        <w:t>捡球员和担架员</w:t>
      </w:r>
      <w:r>
        <w:rPr>
          <w:rFonts w:eastAsia="仿宋"/>
          <w:color w:val="000000" w:themeColor="text1"/>
          <w:kern w:val="0"/>
          <w:sz w:val="32"/>
          <w:szCs w:val="32"/>
          <w14:textFill>
            <w14:solidFill>
              <w14:schemeClr w14:val="tx1"/>
            </w14:solidFill>
          </w14:textFill>
        </w:rPr>
        <w:t>兼任）</w:t>
      </w:r>
      <w:r>
        <w:rPr>
          <w:rFonts w:hint="eastAsia" w:eastAsia="仿宋"/>
          <w:color w:val="000000" w:themeColor="text1"/>
          <w:kern w:val="0"/>
          <w:sz w:val="32"/>
          <w:szCs w:val="32"/>
          <w14:textFill>
            <w14:solidFill>
              <w14:schemeClr w14:val="tx1"/>
            </w14:solidFill>
          </w14:textFill>
        </w:rPr>
        <w:t>。</w:t>
      </w:r>
    </w:p>
    <w:p w14:paraId="348B0CA0">
      <w:pPr>
        <w:widowControl/>
        <w:adjustRightInd w:val="0"/>
        <w:snapToGrid w:val="0"/>
        <w:spacing w:line="560" w:lineRule="exact"/>
        <w:ind w:right="25" w:rightChars="12" w:firstLine="640" w:firstLineChars="20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（3）担架员（每场）：8人（要求男性，年龄需满16岁）</w:t>
      </w:r>
      <w:r>
        <w:rPr>
          <w:rFonts w:hint="eastAsia" w:eastAsia="仿宋"/>
          <w:color w:val="000000" w:themeColor="text1"/>
          <w:kern w:val="0"/>
          <w:sz w:val="32"/>
          <w:szCs w:val="32"/>
          <w14:textFill>
            <w14:solidFill>
              <w14:schemeClr w14:val="tx1"/>
            </w14:solidFill>
          </w14:textFill>
        </w:rPr>
        <w:t>。</w:t>
      </w:r>
    </w:p>
    <w:p w14:paraId="091DE7B7">
      <w:pPr>
        <w:widowControl/>
        <w:adjustRightInd w:val="0"/>
        <w:snapToGrid w:val="0"/>
        <w:spacing w:line="560" w:lineRule="exact"/>
        <w:ind w:right="25" w:rightChars="12" w:firstLine="640" w:firstLineChars="20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（4）广播员（每场）：</w:t>
      </w:r>
      <w:r>
        <w:rPr>
          <w:rFonts w:hint="eastAsia" w:eastAsia="仿宋"/>
          <w:color w:val="000000" w:themeColor="text1"/>
          <w:kern w:val="0"/>
          <w:sz w:val="32"/>
          <w:szCs w:val="32"/>
          <w14:textFill>
            <w14:solidFill>
              <w14:schemeClr w14:val="tx1"/>
            </w14:solidFill>
          </w14:textFill>
        </w:rPr>
        <w:t>1人。</w:t>
      </w:r>
    </w:p>
    <w:p w14:paraId="2A42EAF7">
      <w:pPr>
        <w:widowControl/>
        <w:adjustRightInd w:val="0"/>
        <w:snapToGrid w:val="0"/>
        <w:spacing w:line="560" w:lineRule="exact"/>
        <w:ind w:right="25" w:rightChars="12" w:firstLine="640" w:firstLineChars="20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2. 提供换人牌、角旗、气筒、裁判用品等竞赛物资。</w:t>
      </w:r>
    </w:p>
    <w:p w14:paraId="7BF254A8">
      <w:pPr>
        <w:widowControl/>
        <w:adjustRightInd w:val="0"/>
        <w:snapToGrid w:val="0"/>
        <w:spacing w:line="560" w:lineRule="exact"/>
        <w:ind w:right="25" w:rightChars="12" w:firstLine="640" w:firstLineChars="20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3. 应为参赛球队提供</w:t>
      </w:r>
      <w:r>
        <w:rPr>
          <w:rFonts w:hint="eastAsia" w:eastAsia="仿宋"/>
          <w:color w:val="000000" w:themeColor="text1"/>
          <w:kern w:val="0"/>
          <w:sz w:val="32"/>
          <w:szCs w:val="32"/>
          <w14:textFill>
            <w14:solidFill>
              <w14:schemeClr w14:val="tx1"/>
            </w14:solidFill>
          </w14:textFill>
        </w:rPr>
        <w:t>符合标准</w:t>
      </w:r>
      <w:r>
        <w:rPr>
          <w:rFonts w:eastAsia="仿宋"/>
          <w:color w:val="000000" w:themeColor="text1"/>
          <w:kern w:val="0"/>
          <w:sz w:val="32"/>
          <w:szCs w:val="32"/>
          <w14:textFill>
            <w14:solidFill>
              <w14:schemeClr w14:val="tx1"/>
            </w14:solidFill>
          </w14:textFill>
        </w:rPr>
        <w:t>的训练和比赛用</w:t>
      </w:r>
      <w:r>
        <w:rPr>
          <w:rFonts w:hint="eastAsia" w:eastAsia="仿宋"/>
          <w:color w:val="000000" w:themeColor="text1"/>
          <w:kern w:val="0"/>
          <w:sz w:val="32"/>
          <w:szCs w:val="32"/>
          <w14:textFill>
            <w14:solidFill>
              <w14:schemeClr w14:val="tx1"/>
            </w14:solidFill>
          </w14:textFill>
        </w:rPr>
        <w:t>饮用</w:t>
      </w:r>
      <w:r>
        <w:rPr>
          <w:rFonts w:eastAsia="仿宋"/>
          <w:color w:val="000000" w:themeColor="text1"/>
          <w:kern w:val="0"/>
          <w:sz w:val="32"/>
          <w:szCs w:val="32"/>
          <w14:textFill>
            <w14:solidFill>
              <w14:schemeClr w14:val="tx1"/>
            </w14:solidFill>
          </w14:textFill>
        </w:rPr>
        <w:t>水和冰块。</w:t>
      </w:r>
    </w:p>
    <w:p w14:paraId="0EA85C4B">
      <w:pPr>
        <w:widowControl/>
        <w:adjustRightInd w:val="0"/>
        <w:snapToGrid w:val="0"/>
        <w:spacing w:line="560" w:lineRule="exact"/>
        <w:ind w:right="25" w:rightChars="12" w:firstLine="640" w:firstLineChars="20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4. 应在比赛场地设立竞赛办公室，供赛区协调员、比赛监督、裁判监督日常办公使用，并配备</w:t>
      </w:r>
      <w:r>
        <w:rPr>
          <w:rFonts w:hint="eastAsia" w:eastAsia="仿宋"/>
          <w:color w:val="000000" w:themeColor="text1"/>
          <w:kern w:val="0"/>
          <w:sz w:val="32"/>
          <w:szCs w:val="32"/>
          <w14:textFill>
            <w14:solidFill>
              <w14:schemeClr w14:val="tx1"/>
            </w14:solidFill>
          </w14:textFill>
        </w:rPr>
        <w:t>电脑（至少2台）、</w:t>
      </w:r>
      <w:r>
        <w:rPr>
          <w:rFonts w:eastAsia="仿宋"/>
          <w:color w:val="000000" w:themeColor="text1"/>
          <w:kern w:val="0"/>
          <w:sz w:val="32"/>
          <w:szCs w:val="32"/>
          <w14:textFill>
            <w14:solidFill>
              <w14:schemeClr w14:val="tx1"/>
            </w14:solidFill>
          </w14:textFill>
        </w:rPr>
        <w:t>打印机、复印机、扫描仪、传真机、网络及必要的茶点</w:t>
      </w:r>
      <w:r>
        <w:rPr>
          <w:rFonts w:hint="eastAsia" w:eastAsia="仿宋"/>
          <w:color w:val="000000" w:themeColor="text1"/>
          <w:kern w:val="0"/>
          <w:sz w:val="32"/>
          <w:szCs w:val="32"/>
          <w14:textFill>
            <w14:solidFill>
              <w14:schemeClr w14:val="tx1"/>
            </w14:solidFill>
          </w14:textFill>
        </w:rPr>
        <w:t>。</w:t>
      </w:r>
      <w:r>
        <w:rPr>
          <w:rFonts w:eastAsia="仿宋"/>
          <w:color w:val="000000" w:themeColor="text1"/>
          <w:kern w:val="0"/>
          <w:sz w:val="32"/>
          <w:szCs w:val="32"/>
          <w14:textFill>
            <w14:solidFill>
              <w14:schemeClr w14:val="tx1"/>
            </w14:solidFill>
          </w14:textFill>
        </w:rPr>
        <w:t>设置球员及裁判员休息室、兴奋剂检测室</w:t>
      </w:r>
      <w:r>
        <w:rPr>
          <w:rFonts w:hint="eastAsia" w:eastAsia="仿宋"/>
          <w:color w:val="000000" w:themeColor="text1"/>
          <w:kern w:val="0"/>
          <w:sz w:val="32"/>
          <w:szCs w:val="32"/>
          <w14:textFill>
            <w14:solidFill>
              <w14:schemeClr w14:val="tx1"/>
            </w14:solidFill>
          </w14:textFill>
        </w:rPr>
        <w:t>等</w:t>
      </w:r>
      <w:r>
        <w:rPr>
          <w:rFonts w:eastAsia="仿宋"/>
          <w:color w:val="000000" w:themeColor="text1"/>
          <w:kern w:val="0"/>
          <w:sz w:val="32"/>
          <w:szCs w:val="32"/>
          <w14:textFill>
            <w14:solidFill>
              <w14:schemeClr w14:val="tx1"/>
            </w14:solidFill>
          </w14:textFill>
        </w:rPr>
        <w:t>必要功能房。</w:t>
      </w:r>
    </w:p>
    <w:p w14:paraId="63835767">
      <w:pPr>
        <w:widowControl/>
        <w:adjustRightInd w:val="0"/>
        <w:snapToGrid w:val="0"/>
        <w:spacing w:line="560" w:lineRule="exact"/>
        <w:ind w:right="25" w:rightChars="12" w:firstLine="640" w:firstLineChars="20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5. 技术摄像：</w:t>
      </w:r>
    </w:p>
    <w:p w14:paraId="3BC17093">
      <w:pPr>
        <w:widowControl/>
        <w:adjustRightInd w:val="0"/>
        <w:snapToGrid w:val="0"/>
        <w:spacing w:line="560" w:lineRule="exact"/>
        <w:ind w:right="25" w:rightChars="12" w:firstLine="640" w:firstLineChars="20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承办赛区须完成每场比赛的技术摄像工作，技术摄像人员须有摄像基础专业知识，经过中足联培训合格后上岗。配备专业摄像机1台、移动U盘或硬盘等设备。</w:t>
      </w:r>
    </w:p>
    <w:p w14:paraId="347FA0DB">
      <w:pPr>
        <w:widowControl/>
        <w:adjustRightInd w:val="0"/>
        <w:snapToGrid w:val="0"/>
        <w:spacing w:line="560" w:lineRule="exact"/>
        <w:ind w:right="25" w:rightChars="12" w:firstLine="640" w:firstLineChars="200"/>
        <w:rPr>
          <w:rFonts w:ascii="楷体" w:hAnsi="楷体" w:eastAsia="楷体" w:cs="楷体"/>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（六）赛事安全</w:t>
      </w:r>
    </w:p>
    <w:p w14:paraId="303C51DA">
      <w:pPr>
        <w:widowControl/>
        <w:adjustRightInd w:val="0"/>
        <w:snapToGrid w:val="0"/>
        <w:spacing w:line="560" w:lineRule="exact"/>
        <w:ind w:right="25" w:rightChars="12" w:firstLine="640" w:firstLineChars="200"/>
        <w:rPr>
          <w:rFonts w:eastAsia="仿宋"/>
          <w:color w:val="000000" w:themeColor="text1"/>
          <w:kern w:val="0"/>
          <w:sz w:val="32"/>
          <w:szCs w:val="32"/>
          <w14:textFill>
            <w14:solidFill>
              <w14:schemeClr w14:val="tx1"/>
            </w14:solidFill>
          </w14:textFill>
        </w:rPr>
      </w:pPr>
      <w:r>
        <w:rPr>
          <w:rFonts w:hint="eastAsia" w:eastAsia="仿宋"/>
          <w:color w:val="000000" w:themeColor="text1"/>
          <w:kern w:val="0"/>
          <w:sz w:val="32"/>
          <w:szCs w:val="32"/>
          <w14:textFill>
            <w14:solidFill>
              <w14:schemeClr w14:val="tx1"/>
            </w14:solidFill>
          </w14:textFill>
        </w:rPr>
        <w:t>承办赛区必须将赛事安全作为工作重点，采取有效措施防范安全风险，确保赛事平稳、顺利。</w:t>
      </w:r>
    </w:p>
    <w:p w14:paraId="40E0E5AB">
      <w:pPr>
        <w:pStyle w:val="4"/>
        <w:adjustRightInd w:val="0"/>
        <w:snapToGrid w:val="0"/>
        <w:spacing w:line="560" w:lineRule="exact"/>
        <w:ind w:right="25" w:rightChars="12" w:firstLine="64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 xml:space="preserve">1. </w:t>
      </w:r>
      <w:r>
        <w:rPr>
          <w:rFonts w:hint="eastAsia" w:eastAsia="仿宋"/>
          <w:color w:val="000000" w:themeColor="text1"/>
          <w:kern w:val="0"/>
          <w:sz w:val="32"/>
          <w:szCs w:val="32"/>
          <w14:textFill>
            <w14:solidFill>
              <w14:schemeClr w14:val="tx1"/>
            </w14:solidFill>
          </w14:textFill>
        </w:rPr>
        <w:t>承办</w:t>
      </w:r>
      <w:r>
        <w:rPr>
          <w:rFonts w:eastAsia="仿宋"/>
          <w:color w:val="000000" w:themeColor="text1"/>
          <w:kern w:val="0"/>
          <w:sz w:val="32"/>
          <w:szCs w:val="32"/>
          <w14:textFill>
            <w14:solidFill>
              <w14:schemeClr w14:val="tx1"/>
            </w14:solidFill>
          </w14:textFill>
        </w:rPr>
        <w:t>赛区应保证与属地公安局紧密联系，准备突发事件应急预案。</w:t>
      </w:r>
    </w:p>
    <w:p w14:paraId="4EE2BAE7">
      <w:pPr>
        <w:widowControl/>
        <w:adjustRightInd w:val="0"/>
        <w:snapToGrid w:val="0"/>
        <w:spacing w:line="560" w:lineRule="exact"/>
        <w:ind w:right="25" w:rightChars="12" w:firstLine="640" w:firstLineChars="20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2. 承办赛区</w:t>
      </w:r>
      <w:r>
        <w:rPr>
          <w:rFonts w:hint="eastAsia" w:eastAsia="仿宋"/>
          <w:color w:val="000000" w:themeColor="text1"/>
          <w:kern w:val="0"/>
          <w:sz w:val="32"/>
          <w:szCs w:val="32"/>
          <w14:textFill>
            <w14:solidFill>
              <w14:schemeClr w14:val="tx1"/>
            </w14:solidFill>
          </w14:textFill>
        </w:rPr>
        <w:t>应制订赛事安全保障方案，并提交主办方备案。</w:t>
      </w:r>
    </w:p>
    <w:p w14:paraId="35399472">
      <w:pPr>
        <w:widowControl/>
        <w:adjustRightInd w:val="0"/>
        <w:snapToGrid w:val="0"/>
        <w:spacing w:line="560" w:lineRule="exact"/>
        <w:ind w:right="25" w:rightChars="12" w:firstLine="640" w:firstLineChars="20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3. 承办赛区应为比赛提供足够数量的安保人员。无观众的比赛，每场比赛安保人员不少于4人</w:t>
      </w:r>
      <w:r>
        <w:rPr>
          <w:rFonts w:hint="eastAsia" w:eastAsia="仿宋"/>
          <w:color w:val="000000" w:themeColor="text1"/>
          <w:kern w:val="0"/>
          <w:sz w:val="32"/>
          <w:szCs w:val="32"/>
          <w14:textFill>
            <w14:solidFill>
              <w14:schemeClr w14:val="tx1"/>
            </w14:solidFill>
          </w14:textFill>
        </w:rPr>
        <w:t>。</w:t>
      </w:r>
    </w:p>
    <w:p w14:paraId="2A9C2B8D">
      <w:pPr>
        <w:widowControl/>
        <w:adjustRightInd w:val="0"/>
        <w:snapToGrid w:val="0"/>
        <w:spacing w:line="560" w:lineRule="exact"/>
        <w:ind w:right="25" w:rightChars="12" w:firstLine="640" w:firstLineChars="20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 xml:space="preserve">4. </w:t>
      </w:r>
      <w:r>
        <w:rPr>
          <w:rFonts w:hint="eastAsia" w:eastAsia="仿宋"/>
          <w:color w:val="000000" w:themeColor="text1"/>
          <w:kern w:val="0"/>
          <w:sz w:val="32"/>
          <w:szCs w:val="32"/>
          <w14:textFill>
            <w14:solidFill>
              <w14:schemeClr w14:val="tx1"/>
            </w14:solidFill>
          </w14:textFill>
        </w:rPr>
        <w:t>开放</w:t>
      </w:r>
      <w:r>
        <w:rPr>
          <w:rFonts w:eastAsia="仿宋"/>
          <w:color w:val="000000" w:themeColor="text1"/>
          <w:kern w:val="0"/>
          <w:sz w:val="32"/>
          <w:szCs w:val="32"/>
          <w14:textFill>
            <w14:solidFill>
              <w14:schemeClr w14:val="tx1"/>
            </w14:solidFill>
          </w14:textFill>
        </w:rPr>
        <w:t>观众的比赛，需</w:t>
      </w:r>
      <w:r>
        <w:rPr>
          <w:rFonts w:hint="eastAsia" w:eastAsia="仿宋"/>
          <w:color w:val="000000" w:themeColor="text1"/>
          <w:kern w:val="0"/>
          <w:sz w:val="32"/>
          <w:szCs w:val="32"/>
          <w14:textFill>
            <w14:solidFill>
              <w14:schemeClr w14:val="tx1"/>
            </w14:solidFill>
          </w14:textFill>
        </w:rPr>
        <w:t>参照职业联赛体育场规程提供体育场安全证书和并制订详细</w:t>
      </w:r>
      <w:r>
        <w:rPr>
          <w:rFonts w:eastAsia="仿宋"/>
          <w:color w:val="000000" w:themeColor="text1"/>
          <w:kern w:val="0"/>
          <w:sz w:val="32"/>
          <w:szCs w:val="32"/>
          <w14:textFill>
            <w14:solidFill>
              <w14:schemeClr w14:val="tx1"/>
            </w14:solidFill>
          </w14:textFill>
        </w:rPr>
        <w:t>的安保方案。</w:t>
      </w:r>
    </w:p>
    <w:p w14:paraId="50DF5931">
      <w:pPr>
        <w:widowControl/>
        <w:adjustRightInd w:val="0"/>
        <w:snapToGrid w:val="0"/>
        <w:spacing w:line="560" w:lineRule="exact"/>
        <w:ind w:right="25" w:rightChars="12" w:firstLine="640" w:firstLineChars="20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5. 比赛期间应实施证件管理，确保赛时无关人员禁止进入内场。</w:t>
      </w:r>
    </w:p>
    <w:p w14:paraId="31569C14">
      <w:pPr>
        <w:widowControl/>
        <w:adjustRightInd w:val="0"/>
        <w:snapToGrid w:val="0"/>
        <w:spacing w:line="560" w:lineRule="exact"/>
        <w:ind w:right="25" w:rightChars="12" w:firstLine="640" w:firstLineChars="20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6. 应为运动员和竞赛官员住宿酒店提供相应的安保服务。</w:t>
      </w:r>
    </w:p>
    <w:p w14:paraId="2309D059">
      <w:pPr>
        <w:widowControl/>
        <w:adjustRightInd w:val="0"/>
        <w:snapToGrid w:val="0"/>
        <w:spacing w:line="560" w:lineRule="exact"/>
        <w:ind w:right="25" w:rightChars="12" w:firstLine="640" w:firstLineChars="200"/>
        <w:rPr>
          <w:rFonts w:ascii="楷体" w:hAnsi="楷体" w:eastAsia="楷体" w:cs="楷体"/>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（七）医务服务</w:t>
      </w:r>
    </w:p>
    <w:p w14:paraId="3F774F68">
      <w:pPr>
        <w:widowControl/>
        <w:adjustRightInd w:val="0"/>
        <w:snapToGrid w:val="0"/>
        <w:spacing w:line="560" w:lineRule="exact"/>
        <w:ind w:right="25" w:rightChars="12" w:firstLine="640" w:firstLineChars="20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1. 赛区应设定点医院，并开通就医绿色通道。</w:t>
      </w:r>
    </w:p>
    <w:p w14:paraId="51B52E1A">
      <w:pPr>
        <w:widowControl/>
        <w:adjustRightInd w:val="0"/>
        <w:snapToGrid w:val="0"/>
        <w:spacing w:line="560" w:lineRule="exact"/>
        <w:ind w:right="25" w:rightChars="12" w:firstLine="640" w:firstLineChars="20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2. 赛场应配备</w:t>
      </w:r>
      <w:r>
        <w:rPr>
          <w:rFonts w:hint="eastAsia" w:eastAsia="仿宋"/>
          <w:color w:val="000000" w:themeColor="text1"/>
          <w:kern w:val="0"/>
          <w:sz w:val="32"/>
          <w:szCs w:val="32"/>
          <w14:textFill>
            <w14:solidFill>
              <w14:schemeClr w14:val="tx1"/>
            </w14:solidFill>
          </w14:textFill>
        </w:rPr>
        <w:t>比赛</w:t>
      </w:r>
      <w:r>
        <w:rPr>
          <w:rFonts w:eastAsia="仿宋"/>
          <w:color w:val="000000" w:themeColor="text1"/>
          <w:kern w:val="0"/>
          <w:sz w:val="32"/>
          <w:szCs w:val="32"/>
          <w14:textFill>
            <w14:solidFill>
              <w14:schemeClr w14:val="tx1"/>
            </w14:solidFill>
          </w14:textFill>
        </w:rPr>
        <w:t>救护车至少2辆，并配备相关医务人员</w:t>
      </w:r>
      <w:r>
        <w:rPr>
          <w:rFonts w:hint="eastAsia" w:eastAsia="仿宋"/>
          <w:color w:val="000000" w:themeColor="text1"/>
          <w:kern w:val="0"/>
          <w:sz w:val="32"/>
          <w:szCs w:val="32"/>
          <w14:textFill>
            <w14:solidFill>
              <w14:schemeClr w14:val="tx1"/>
            </w14:solidFill>
          </w14:textFill>
        </w:rPr>
        <w:t>及</w:t>
      </w:r>
      <w:r>
        <w:rPr>
          <w:rFonts w:eastAsia="仿宋"/>
          <w:color w:val="000000" w:themeColor="text1"/>
          <w:kern w:val="0"/>
          <w:sz w:val="32"/>
          <w:szCs w:val="32"/>
          <w14:textFill>
            <w14:solidFill>
              <w14:schemeClr w14:val="tx1"/>
            </w14:solidFill>
          </w14:textFill>
        </w:rPr>
        <w:t>AED除颤仪</w:t>
      </w:r>
      <w:r>
        <w:rPr>
          <w:rFonts w:hint="eastAsia" w:eastAsia="仿宋"/>
          <w:color w:val="000000" w:themeColor="text1"/>
          <w:kern w:val="0"/>
          <w:sz w:val="32"/>
          <w:szCs w:val="32"/>
          <w14:textFill>
            <w14:solidFill>
              <w14:schemeClr w14:val="tx1"/>
            </w14:solidFill>
          </w14:textFill>
        </w:rPr>
        <w:t>等</w:t>
      </w:r>
      <w:r>
        <w:rPr>
          <w:rFonts w:eastAsia="仿宋"/>
          <w:color w:val="000000" w:themeColor="text1"/>
          <w:kern w:val="0"/>
          <w:sz w:val="32"/>
          <w:szCs w:val="32"/>
          <w14:textFill>
            <w14:solidFill>
              <w14:schemeClr w14:val="tx1"/>
            </w14:solidFill>
          </w14:textFill>
        </w:rPr>
        <w:t>急救设备，救护车应于赛前</w:t>
      </w:r>
      <w:r>
        <w:rPr>
          <w:rFonts w:hint="eastAsia" w:eastAsia="仿宋"/>
          <w:color w:val="000000" w:themeColor="text1"/>
          <w:kern w:val="0"/>
          <w:sz w:val="32"/>
          <w:szCs w:val="32"/>
          <w14:textFill>
            <w14:solidFill>
              <w14:schemeClr w14:val="tx1"/>
            </w14:solidFill>
          </w14:textFill>
        </w:rPr>
        <w:t>100</w:t>
      </w:r>
      <w:r>
        <w:rPr>
          <w:rFonts w:eastAsia="仿宋"/>
          <w:color w:val="000000" w:themeColor="text1"/>
          <w:kern w:val="0"/>
          <w:sz w:val="32"/>
          <w:szCs w:val="32"/>
          <w14:textFill>
            <w14:solidFill>
              <w14:schemeClr w14:val="tx1"/>
            </w14:solidFill>
          </w14:textFill>
        </w:rPr>
        <w:t>分钟抵达赛场，至赛后球队离开比赛场地后离开。</w:t>
      </w:r>
    </w:p>
    <w:p w14:paraId="3EBEC214">
      <w:pPr>
        <w:widowControl/>
        <w:adjustRightInd w:val="0"/>
        <w:snapToGrid w:val="0"/>
        <w:spacing w:line="560" w:lineRule="exact"/>
        <w:ind w:right="25" w:rightChars="12" w:firstLine="640" w:firstLineChars="20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 xml:space="preserve">3. </w:t>
      </w:r>
      <w:r>
        <w:rPr>
          <w:rFonts w:hint="eastAsia" w:eastAsia="仿宋"/>
          <w:color w:val="000000" w:themeColor="text1"/>
          <w:kern w:val="0"/>
          <w:sz w:val="32"/>
          <w:szCs w:val="32"/>
          <w14:textFill>
            <w14:solidFill>
              <w14:schemeClr w14:val="tx1"/>
            </w14:solidFill>
          </w14:textFill>
        </w:rPr>
        <w:t>赛区应配备训练救护车至少1辆，并配备相关医务人员及AED除颤仪等急救设备，救护车应于球队或竞赛官员训练期间全程位于场地边。</w:t>
      </w:r>
    </w:p>
    <w:p w14:paraId="07000BFF">
      <w:pPr>
        <w:widowControl/>
        <w:adjustRightInd w:val="0"/>
        <w:snapToGrid w:val="0"/>
        <w:spacing w:line="560" w:lineRule="exact"/>
        <w:ind w:right="25" w:rightChars="12" w:firstLine="640" w:firstLineChars="20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4. 赛场应设置医务室，并配置AED除颤仪。</w:t>
      </w:r>
    </w:p>
    <w:p w14:paraId="161B7B93">
      <w:pPr>
        <w:widowControl/>
        <w:adjustRightInd w:val="0"/>
        <w:snapToGrid w:val="0"/>
        <w:spacing w:line="560" w:lineRule="exact"/>
        <w:ind w:right="25" w:rightChars="12" w:firstLine="640" w:firstLineChars="20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5. 球队驻地和训练场地均须提供必要的医务服务。</w:t>
      </w:r>
    </w:p>
    <w:p w14:paraId="7494E55A">
      <w:pPr>
        <w:widowControl/>
        <w:adjustRightInd w:val="0"/>
        <w:snapToGrid w:val="0"/>
        <w:spacing w:line="560" w:lineRule="exact"/>
        <w:ind w:right="25" w:rightChars="12" w:firstLine="640" w:firstLineChars="20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 xml:space="preserve">6. </w:t>
      </w:r>
      <w:r>
        <w:rPr>
          <w:rFonts w:hint="eastAsia" w:eastAsia="仿宋"/>
          <w:color w:val="000000" w:themeColor="text1"/>
          <w:kern w:val="0"/>
          <w:sz w:val="32"/>
          <w:szCs w:val="32"/>
          <w14:textFill>
            <w14:solidFill>
              <w14:schemeClr w14:val="tx1"/>
            </w14:solidFill>
          </w14:textFill>
        </w:rPr>
        <w:t>预赛阶段承办赛区须在赛前组织一次包含心肺复苏内容在内的急救培训。</w:t>
      </w:r>
    </w:p>
    <w:p w14:paraId="07339A3D">
      <w:pPr>
        <w:widowControl/>
        <w:adjustRightInd w:val="0"/>
        <w:snapToGrid w:val="0"/>
        <w:spacing w:line="560" w:lineRule="exact"/>
        <w:ind w:right="25" w:rightChars="12" w:firstLine="640" w:firstLineChars="200"/>
        <w:rPr>
          <w:rFonts w:ascii="楷体" w:hAnsi="楷体" w:eastAsia="楷体" w:cs="楷体"/>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（八）转播与宣传</w:t>
      </w:r>
    </w:p>
    <w:p w14:paraId="01108411">
      <w:pPr>
        <w:widowControl/>
        <w:adjustRightInd w:val="0"/>
        <w:snapToGrid w:val="0"/>
        <w:spacing w:line="560" w:lineRule="exact"/>
        <w:ind w:right="25" w:rightChars="12" w:firstLine="640" w:firstLineChars="20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1. 承办赛区应根据赛事转播需要，做好转播硬件设施搭建与布置。</w:t>
      </w:r>
    </w:p>
    <w:p w14:paraId="6C734567">
      <w:pPr>
        <w:widowControl/>
        <w:adjustRightInd w:val="0"/>
        <w:snapToGrid w:val="0"/>
        <w:spacing w:line="560" w:lineRule="exact"/>
        <w:ind w:right="25" w:rightChars="12" w:firstLine="640" w:firstLineChars="20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2. 承办赛区应确定新闻负责人，负责赛事的相关宣传工作，并在本地电视、报纸等媒体宣传赛事。</w:t>
      </w:r>
    </w:p>
    <w:p w14:paraId="6E17751A">
      <w:pPr>
        <w:widowControl/>
        <w:adjustRightInd w:val="0"/>
        <w:snapToGrid w:val="0"/>
        <w:spacing w:line="560" w:lineRule="exact"/>
        <w:ind w:right="25" w:rightChars="12" w:firstLine="640" w:firstLineChars="20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3. 承办赛区应组织1</w:t>
      </w:r>
      <w:r>
        <w:rPr>
          <w:rFonts w:hint="eastAsia" w:eastAsia="仿宋"/>
          <w:color w:val="000000" w:themeColor="text1"/>
          <w:kern w:val="0"/>
          <w:sz w:val="32"/>
          <w:szCs w:val="32"/>
          <w14:textFill>
            <w14:solidFill>
              <w14:schemeClr w14:val="tx1"/>
            </w14:solidFill>
          </w14:textFill>
        </w:rPr>
        <w:t>至</w:t>
      </w:r>
      <w:r>
        <w:rPr>
          <w:rFonts w:eastAsia="仿宋"/>
          <w:color w:val="000000" w:themeColor="text1"/>
          <w:kern w:val="0"/>
          <w:sz w:val="32"/>
          <w:szCs w:val="32"/>
          <w14:textFill>
            <w14:solidFill>
              <w14:schemeClr w14:val="tx1"/>
            </w14:solidFill>
          </w14:textFill>
        </w:rPr>
        <w:t>2名专业摄影人员拍摄每场比赛及其他相关活动的图片。拍摄的数码图片应按要求整理后报中足联备存。</w:t>
      </w:r>
    </w:p>
    <w:p w14:paraId="34D06E25">
      <w:pPr>
        <w:widowControl/>
        <w:adjustRightInd w:val="0"/>
        <w:snapToGrid w:val="0"/>
        <w:spacing w:line="560" w:lineRule="exact"/>
        <w:ind w:right="25" w:rightChars="12" w:firstLine="640" w:firstLineChars="20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4. 承办赛区应在技术、设备等方面支持赛事电视转播工作，特别是开放观众和在全国性电视台播出的比赛场次。</w:t>
      </w:r>
    </w:p>
    <w:p w14:paraId="2423B649">
      <w:pPr>
        <w:widowControl/>
        <w:adjustRightInd w:val="0"/>
        <w:snapToGrid w:val="0"/>
        <w:spacing w:line="560" w:lineRule="exact"/>
        <w:ind w:right="25" w:rightChars="12"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二、商务权益</w:t>
      </w:r>
    </w:p>
    <w:p w14:paraId="583FE1DC">
      <w:pPr>
        <w:adjustRightInd w:val="0"/>
        <w:snapToGrid w:val="0"/>
        <w:spacing w:line="560" w:lineRule="exact"/>
        <w:ind w:right="25" w:rightChars="12" w:firstLine="640" w:firstLineChars="200"/>
        <w:rPr>
          <w:rFonts w:eastAsia="仿宋"/>
          <w:color w:val="000000" w:themeColor="text1"/>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（一）</w:t>
      </w:r>
      <w:r>
        <w:rPr>
          <w:rFonts w:eastAsia="仿宋"/>
          <w:color w:val="000000" w:themeColor="text1"/>
          <w:sz w:val="32"/>
          <w:szCs w:val="32"/>
          <w14:textFill>
            <w14:solidFill>
              <w14:schemeClr w14:val="tx1"/>
            </w14:solidFill>
          </w14:textFill>
        </w:rPr>
        <w:t>中足联拥有赛事全部的市场开发权益、电视转播和新闻宣传报道权以及与比赛相关的权益，并有权转让和授权给承办赛区或其他单位。</w:t>
      </w:r>
    </w:p>
    <w:p w14:paraId="6131C769">
      <w:pPr>
        <w:adjustRightInd w:val="0"/>
        <w:snapToGrid w:val="0"/>
        <w:spacing w:line="560" w:lineRule="exact"/>
        <w:ind w:right="25" w:rightChars="12" w:firstLine="640" w:firstLineChars="200"/>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（二）</w:t>
      </w:r>
      <w:r>
        <w:rPr>
          <w:rFonts w:hint="eastAsia" w:eastAsia="仿宋"/>
          <w:color w:val="000000" w:themeColor="text1"/>
          <w:sz w:val="32"/>
          <w:szCs w:val="32"/>
          <w14:textFill>
            <w14:solidFill>
              <w14:schemeClr w14:val="tx1"/>
            </w14:solidFill>
          </w14:textFill>
        </w:rPr>
        <w:t>赛场应设置标准足球场地广告板（每块规格为高1米、长6米），数量至少18块，其中包含：比赛名称1块（使用2块标准板长度）、赛事主视觉广告板2块、官方赛事赞助商广告板4块、赛事版权与品牌广告板4块。</w:t>
      </w:r>
    </w:p>
    <w:p w14:paraId="63CB428C">
      <w:pPr>
        <w:adjustRightInd w:val="0"/>
        <w:snapToGrid w:val="0"/>
        <w:spacing w:line="560" w:lineRule="exact"/>
        <w:ind w:right="25" w:rightChars="12" w:firstLine="640" w:firstLineChars="200"/>
        <w:rPr>
          <w:rFonts w:eastAsia="仿宋"/>
          <w:color w:val="000000" w:themeColor="text1"/>
          <w:sz w:val="32"/>
          <w:szCs w:val="32"/>
          <w14:textFill>
            <w14:solidFill>
              <w14:schemeClr w14:val="tx1"/>
            </w14:solidFill>
          </w14:textFill>
        </w:rPr>
      </w:pPr>
      <w:r>
        <w:rPr>
          <w:rFonts w:hint="eastAsia" w:eastAsia="仿宋"/>
          <w:color w:val="000000" w:themeColor="text1"/>
          <w:sz w:val="32"/>
          <w:szCs w:val="32"/>
          <w14:textFill>
            <w14:solidFill>
              <w14:schemeClr w14:val="tx1"/>
            </w14:solidFill>
          </w14:textFill>
        </w:rPr>
        <w:t>（三）所有商务物料由赛区负责制作。</w:t>
      </w:r>
    </w:p>
    <w:p w14:paraId="0C187095">
      <w:pPr>
        <w:adjustRightInd w:val="0"/>
        <w:snapToGrid w:val="0"/>
        <w:spacing w:line="560" w:lineRule="exact"/>
        <w:ind w:right="25" w:rightChars="12" w:firstLine="640" w:firstLineChars="200"/>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w:t>
      </w:r>
      <w:r>
        <w:rPr>
          <w:rFonts w:hint="eastAsia" w:eastAsia="仿宋"/>
          <w:color w:val="000000" w:themeColor="text1"/>
          <w:sz w:val="32"/>
          <w:szCs w:val="32"/>
          <w14:textFill>
            <w14:solidFill>
              <w14:schemeClr w14:val="tx1"/>
            </w14:solidFill>
          </w14:textFill>
        </w:rPr>
        <w:t>四</w:t>
      </w:r>
      <w:r>
        <w:rPr>
          <w:rFonts w:eastAsia="仿宋"/>
          <w:color w:val="000000" w:themeColor="text1"/>
          <w:sz w:val="32"/>
          <w:szCs w:val="32"/>
          <w14:textFill>
            <w14:solidFill>
              <w14:schemeClr w14:val="tx1"/>
            </w14:solidFill>
          </w14:textFill>
        </w:rPr>
        <w:t>）承办赛区应配合中足</w:t>
      </w:r>
      <w:r>
        <w:rPr>
          <w:rFonts w:hint="eastAsia" w:eastAsia="仿宋"/>
          <w:color w:val="000000" w:themeColor="text1"/>
          <w:sz w:val="32"/>
          <w:szCs w:val="32"/>
          <w14:textFill>
            <w14:solidFill>
              <w14:schemeClr w14:val="tx1"/>
            </w14:solidFill>
          </w14:textFill>
        </w:rPr>
        <w:t>联</w:t>
      </w:r>
      <w:r>
        <w:rPr>
          <w:rFonts w:eastAsia="仿宋"/>
          <w:color w:val="000000" w:themeColor="text1"/>
          <w:sz w:val="32"/>
          <w:szCs w:val="32"/>
          <w14:textFill>
            <w14:solidFill>
              <w14:schemeClr w14:val="tx1"/>
            </w14:solidFill>
          </w14:textFill>
        </w:rPr>
        <w:t>及其赞助商的相关商务活动。</w:t>
      </w:r>
    </w:p>
    <w:p w14:paraId="28D69E58">
      <w:pPr>
        <w:adjustRightInd w:val="0"/>
        <w:snapToGrid w:val="0"/>
        <w:spacing w:line="560" w:lineRule="exact"/>
        <w:ind w:right="25" w:rightChars="12"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三、赛风赛纪管理</w:t>
      </w:r>
    </w:p>
    <w:p w14:paraId="4536A2DF">
      <w:pPr>
        <w:adjustRightInd w:val="0"/>
        <w:snapToGrid w:val="0"/>
        <w:spacing w:line="560" w:lineRule="exact"/>
        <w:ind w:right="25" w:rightChars="12" w:firstLine="640" w:firstLineChars="200"/>
        <w:rPr>
          <w:rFonts w:eastAsia="仿宋"/>
          <w:color w:val="000000" w:themeColor="text1"/>
          <w:sz w:val="32"/>
          <w:szCs w:val="32"/>
          <w14:textFill>
            <w14:solidFill>
              <w14:schemeClr w14:val="tx1"/>
            </w14:solidFill>
          </w14:textFill>
        </w:rPr>
      </w:pPr>
      <w:r>
        <w:rPr>
          <w:rFonts w:hint="eastAsia" w:eastAsia="仿宋"/>
          <w:color w:val="000000" w:themeColor="text1"/>
          <w:sz w:val="32"/>
          <w:szCs w:val="32"/>
          <w14:textFill>
            <w14:solidFill>
              <w14:schemeClr w14:val="tx1"/>
            </w14:solidFill>
          </w14:textFill>
        </w:rPr>
        <w:t>赛风赛纪管理是U</w:t>
      </w:r>
      <w:r>
        <w:rPr>
          <w:rFonts w:eastAsia="仿宋"/>
          <w:color w:val="000000" w:themeColor="text1"/>
          <w:sz w:val="32"/>
          <w:szCs w:val="32"/>
          <w14:textFill>
            <w14:solidFill>
              <w14:schemeClr w14:val="tx1"/>
            </w14:solidFill>
          </w14:textFill>
        </w:rPr>
        <w:t>21</w:t>
      </w:r>
      <w:r>
        <w:rPr>
          <w:rFonts w:hint="eastAsia" w:eastAsia="仿宋"/>
          <w:color w:val="000000" w:themeColor="text1"/>
          <w:sz w:val="32"/>
          <w:szCs w:val="32"/>
          <w14:textFill>
            <w14:solidFill>
              <w14:schemeClr w14:val="tx1"/>
            </w14:solidFill>
          </w14:textFill>
        </w:rPr>
        <w:t>联赛的重要工作。承办赛区须以 “公平、干净、安全、平稳、有序”为目标，承担责任，履行相应义务，做好赛场人员保护、观赛人员管理、赛事秩序维护等工作。</w:t>
      </w:r>
    </w:p>
    <w:p w14:paraId="75D84162">
      <w:pPr>
        <w:widowControl/>
        <w:adjustRightInd w:val="0"/>
        <w:snapToGrid w:val="0"/>
        <w:spacing w:line="560" w:lineRule="exact"/>
        <w:ind w:right="25" w:rightChars="12" w:firstLine="640" w:firstLineChars="200"/>
        <w:jc w:val="left"/>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四、经费条件</w:t>
      </w:r>
    </w:p>
    <w:p w14:paraId="3C2ADAE2">
      <w:pPr>
        <w:widowControl/>
        <w:adjustRightInd w:val="0"/>
        <w:snapToGrid w:val="0"/>
        <w:spacing w:line="560" w:lineRule="exact"/>
        <w:ind w:right="25" w:rightChars="12" w:firstLine="640" w:firstLineChars="200"/>
        <w:jc w:val="left"/>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（一）中足联将根据赛事级别和规模</w:t>
      </w:r>
      <w:r>
        <w:rPr>
          <w:rFonts w:hint="eastAsia" w:eastAsia="仿宋"/>
          <w:color w:val="000000" w:themeColor="text1"/>
          <w:kern w:val="0"/>
          <w:sz w:val="32"/>
          <w:szCs w:val="32"/>
          <w14:textFill>
            <w14:solidFill>
              <w14:schemeClr w14:val="tx1"/>
            </w14:solidFill>
          </w14:textFill>
        </w:rPr>
        <w:t>，按照标准</w:t>
      </w:r>
      <w:r>
        <w:rPr>
          <w:rFonts w:eastAsia="仿宋"/>
          <w:color w:val="000000" w:themeColor="text1"/>
          <w:kern w:val="0"/>
          <w:sz w:val="32"/>
          <w:szCs w:val="32"/>
          <w14:textFill>
            <w14:solidFill>
              <w14:schemeClr w14:val="tx1"/>
            </w14:solidFill>
          </w14:textFill>
        </w:rPr>
        <w:t>提供一定的竞赛组织费，并与承办赛区</w:t>
      </w:r>
      <w:r>
        <w:rPr>
          <w:rFonts w:hint="eastAsia" w:eastAsia="仿宋"/>
          <w:color w:val="000000" w:themeColor="text1"/>
          <w:kern w:val="0"/>
          <w:sz w:val="32"/>
          <w:szCs w:val="32"/>
          <w14:textFill>
            <w14:solidFill>
              <w14:schemeClr w14:val="tx1"/>
            </w14:solidFill>
          </w14:textFill>
        </w:rPr>
        <w:t>签订</w:t>
      </w:r>
      <w:r>
        <w:rPr>
          <w:rFonts w:eastAsia="仿宋"/>
          <w:color w:val="000000" w:themeColor="text1"/>
          <w:kern w:val="0"/>
          <w:sz w:val="32"/>
          <w:szCs w:val="32"/>
          <w14:textFill>
            <w14:solidFill>
              <w14:schemeClr w14:val="tx1"/>
            </w14:solidFill>
          </w14:textFill>
        </w:rPr>
        <w:t>承办协议。</w:t>
      </w:r>
    </w:p>
    <w:p w14:paraId="17BFD8D3">
      <w:pPr>
        <w:widowControl/>
        <w:adjustRightInd w:val="0"/>
        <w:snapToGrid w:val="0"/>
        <w:spacing w:line="560" w:lineRule="exact"/>
        <w:ind w:right="25" w:rightChars="12" w:firstLine="640" w:firstLineChars="20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（二）承办赛区应负担比赛的组织费用，包括不仅限于如下：</w:t>
      </w:r>
    </w:p>
    <w:p w14:paraId="420D5FD0">
      <w:pPr>
        <w:widowControl/>
        <w:adjustRightInd w:val="0"/>
        <w:snapToGrid w:val="0"/>
        <w:spacing w:line="560" w:lineRule="exact"/>
        <w:ind w:right="25" w:rightChars="12" w:firstLine="640" w:firstLineChars="20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1. 竞赛组织、人员服务、场地租用、器材设施、安保、医务、新闻宣传、</w:t>
      </w:r>
      <w:r>
        <w:rPr>
          <w:rFonts w:hint="eastAsia" w:eastAsia="仿宋"/>
          <w:color w:val="000000" w:themeColor="text1"/>
          <w:kern w:val="0"/>
          <w:sz w:val="32"/>
          <w:szCs w:val="32"/>
          <w14:textFill>
            <w14:solidFill>
              <w14:schemeClr w14:val="tx1"/>
            </w14:solidFill>
          </w14:textFill>
        </w:rPr>
        <w:t>商务制作、</w:t>
      </w:r>
      <w:r>
        <w:rPr>
          <w:rFonts w:eastAsia="仿宋"/>
          <w:color w:val="000000" w:themeColor="text1"/>
          <w:kern w:val="0"/>
          <w:sz w:val="32"/>
          <w:szCs w:val="32"/>
          <w14:textFill>
            <w14:solidFill>
              <w14:schemeClr w14:val="tx1"/>
            </w14:solidFill>
          </w14:textFill>
        </w:rPr>
        <w:t>工作车辆租用等。</w:t>
      </w:r>
    </w:p>
    <w:p w14:paraId="4C6262B9">
      <w:pPr>
        <w:widowControl/>
        <w:adjustRightInd w:val="0"/>
        <w:snapToGrid w:val="0"/>
        <w:spacing w:line="560" w:lineRule="exact"/>
        <w:ind w:right="25" w:rightChars="12" w:firstLine="640" w:firstLineChars="20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 xml:space="preserve">2. </w:t>
      </w:r>
      <w:r>
        <w:rPr>
          <w:rFonts w:hint="eastAsia" w:eastAsia="仿宋"/>
          <w:color w:val="000000" w:themeColor="text1"/>
          <w:kern w:val="0"/>
          <w:sz w:val="32"/>
          <w:szCs w:val="32"/>
          <w14:textFill>
            <w14:solidFill>
              <w14:schemeClr w14:val="tx1"/>
            </w14:solidFill>
          </w14:textFill>
        </w:rPr>
        <w:t>中足联</w:t>
      </w:r>
      <w:r>
        <w:rPr>
          <w:rFonts w:eastAsia="仿宋"/>
          <w:color w:val="000000" w:themeColor="text1"/>
          <w:kern w:val="0"/>
          <w:sz w:val="32"/>
          <w:szCs w:val="32"/>
          <w14:textFill>
            <w14:solidFill>
              <w14:schemeClr w14:val="tx1"/>
            </w14:solidFill>
          </w14:textFill>
        </w:rPr>
        <w:t>选派竞赛官员比赛工作期间的食宿</w:t>
      </w:r>
      <w:r>
        <w:rPr>
          <w:rFonts w:hint="eastAsia" w:eastAsia="仿宋"/>
          <w:color w:val="000000" w:themeColor="text1"/>
          <w:kern w:val="0"/>
          <w:sz w:val="32"/>
          <w:szCs w:val="32"/>
          <w14:textFill>
            <w14:solidFill>
              <w14:schemeClr w14:val="tx1"/>
            </w14:solidFill>
          </w14:textFill>
        </w:rPr>
        <w:t>等后勤保障</w:t>
      </w:r>
      <w:r>
        <w:rPr>
          <w:rFonts w:eastAsia="仿宋"/>
          <w:color w:val="000000" w:themeColor="text1"/>
          <w:kern w:val="0"/>
          <w:sz w:val="32"/>
          <w:szCs w:val="32"/>
          <w14:textFill>
            <w14:solidFill>
              <w14:schemeClr w14:val="tx1"/>
            </w14:solidFill>
          </w14:textFill>
        </w:rPr>
        <w:t>。</w:t>
      </w:r>
    </w:p>
    <w:p w14:paraId="6356528F">
      <w:pPr>
        <w:widowControl/>
        <w:adjustRightInd w:val="0"/>
        <w:snapToGrid w:val="0"/>
        <w:spacing w:line="560" w:lineRule="exact"/>
        <w:ind w:right="25" w:rightChars="12" w:firstLine="640" w:firstLineChars="20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 xml:space="preserve">3. </w:t>
      </w:r>
      <w:r>
        <w:rPr>
          <w:rFonts w:hint="eastAsia" w:eastAsia="仿宋"/>
          <w:color w:val="000000" w:themeColor="text1"/>
          <w:kern w:val="0"/>
          <w:sz w:val="32"/>
          <w:szCs w:val="32"/>
          <w14:textFill>
            <w14:solidFill>
              <w14:schemeClr w14:val="tx1"/>
            </w14:solidFill>
          </w14:textFill>
        </w:rPr>
        <w:t>中足联选派竞赛官员的城际和赛区交通费用。</w:t>
      </w:r>
    </w:p>
    <w:p w14:paraId="5977B82D">
      <w:pPr>
        <w:widowControl/>
        <w:adjustRightInd w:val="0"/>
        <w:snapToGrid w:val="0"/>
        <w:spacing w:line="560" w:lineRule="exact"/>
        <w:ind w:right="25" w:rightChars="12" w:firstLine="640" w:firstLineChars="20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（三）比赛开放观众产生的门票等成本由承办方承担，收益归承办赛区。</w:t>
      </w:r>
    </w:p>
    <w:p w14:paraId="5C06BD62">
      <w:pPr>
        <w:widowControl/>
        <w:adjustRightInd w:val="0"/>
        <w:snapToGrid w:val="0"/>
        <w:spacing w:line="560" w:lineRule="exact"/>
        <w:ind w:right="25" w:rightChars="12" w:firstLine="640" w:firstLineChars="20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（四）参赛球队赴赛区产生的往返交通费、赛区食宿费等费用由球队承担。</w:t>
      </w:r>
    </w:p>
    <w:p w14:paraId="07B414DD">
      <w:pPr>
        <w:widowControl/>
        <w:adjustRightInd w:val="0"/>
        <w:snapToGrid w:val="0"/>
        <w:spacing w:line="560" w:lineRule="exact"/>
        <w:ind w:right="25" w:rightChars="12" w:firstLine="640" w:firstLineChars="200"/>
        <w:jc w:val="left"/>
        <w:rPr>
          <w:rFonts w:ascii="黑体" w:hAnsi="黑体" w:eastAsia="黑体" w:cs="黑体"/>
          <w:color w:val="000000" w:themeColor="text1"/>
          <w:kern w:val="0"/>
          <w:sz w:val="32"/>
          <w:szCs w:val="32"/>
          <w14:textFill>
            <w14:solidFill>
              <w14:schemeClr w14:val="tx1"/>
            </w14:solidFill>
          </w14:textFill>
        </w:rPr>
      </w:pPr>
      <w:r>
        <w:rPr>
          <w:rFonts w:ascii="黑体" w:hAnsi="黑体" w:eastAsia="黑体" w:cs="黑体"/>
          <w:color w:val="000000" w:themeColor="text1"/>
          <w:kern w:val="0"/>
          <w:sz w:val="32"/>
          <w:szCs w:val="32"/>
          <w14:textFill>
            <w14:solidFill>
              <w14:schemeClr w14:val="tx1"/>
            </w14:solidFill>
          </w14:textFill>
        </w:rPr>
        <w:t>五、其他</w:t>
      </w:r>
    </w:p>
    <w:p w14:paraId="2D57E601">
      <w:pPr>
        <w:widowControl/>
        <w:adjustRightInd w:val="0"/>
        <w:snapToGrid w:val="0"/>
        <w:spacing w:line="560" w:lineRule="exact"/>
        <w:ind w:right="25" w:rightChars="12" w:firstLine="640" w:firstLineChars="200"/>
      </w:pPr>
      <w:r>
        <w:rPr>
          <w:rFonts w:eastAsia="仿宋"/>
          <w:color w:val="000000" w:themeColor="text1"/>
          <w:kern w:val="0"/>
          <w:sz w:val="32"/>
          <w:szCs w:val="32"/>
          <w14:textFill>
            <w14:solidFill>
              <w14:schemeClr w14:val="tx1"/>
            </w14:solidFill>
          </w14:textFill>
        </w:rPr>
        <w:t>本通知内容条款于竞赛规程有差异或不相符之处，以竞赛规程为准。</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127B74"/>
    <w:rsid w:val="2F7C4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2783</Words>
  <Characters>2868</Characters>
  <Lines>0</Lines>
  <Paragraphs>0</Paragraphs>
  <TotalTime>0</TotalTime>
  <ScaleCrop>false</ScaleCrop>
  <LinksUpToDate>false</LinksUpToDate>
  <CharactersWithSpaces>2917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2025-04-09T05:43:00Z</dcterms:created>
  <dc:creator>seca</dc:creator>
  <cp:lastModifiedBy>独行者</cp:lastModifiedBy>
  <dcterms:modified xsi:type="dcterms:W3CDTF">2025-04-09T07:31:28Z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eyJoZGlkIjoiNDdlYmVlNDJhNmZlNzMyMTQzYmFlOTU4MjVjOWI5M2YiLCJ1c2VySWQiOiIyMDY4Njk5MjkifQ==</vt:lpwstr>
  </property>
  <property fmtid="{D5CDD505-2E9C-101B-9397-08002B2CF9AE}" pid="4" name="ICV">
    <vt:lpwstr>C1517D6832474B70A147B57A0D755ED7_12</vt:lpwstr>
  </property>
</Properties>
</file>